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FALL</w:t>
            </w:r>
          </w:p>
        </w:tc>
        <w:tc>
          <w:tcPr>
            <w:tcW w:type="dxa" w:w="2493"/>
          </w:tcPr>
          <w:p>
            <w:r>
              <w:rPr>
                <w:sz w:val="14"/>
              </w:rPr>
              <w:t>GOROM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SINY THIAW DIONGUE</w:t>
            </w:r>
          </w:p>
        </w:tc>
        <w:tc>
          <w:tcPr>
            <w:tcW w:type="dxa" w:w="2493"/>
          </w:tcPr>
          <w:p>
            <w:r>
              <w:rPr>
                <w:sz w:val="14"/>
              </w:rPr>
              <w:t>GOROM I</w:t>
            </w:r>
          </w:p>
        </w:tc>
        <w:tc>
          <w:tcPr>
            <w:tcW w:type="dxa" w:w="2493"/>
          </w:tcPr>
          <w:p>
            <w:r>
              <w:rPr>
                <w:sz w:val="14"/>
              </w:rPr>
              <w:t>GOROM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03395,-17.1515102" TargetMode="External"/><Relationship Id="rId10" Type="http://schemas.openxmlformats.org/officeDocument/2006/relationships/hyperlink" Target="https://www.google.com/maps?q=14.8234655,-17.1509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