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ANSD · EHCVM3 — Sénégal</w:t>
      </w:r>
    </w:p>
    <w:p>
      <w:pPr>
        <w:pStyle w:val="Title"/>
      </w:pPr>
      <w:r>
        <w:rPr>
          <w:color w:val="1F6FEB"/>
        </w:rPr>
        <w:t>Rapport de Suivi du VOLET MÉNAGE</w:t>
      </w:r>
    </w:p>
    <w:p>
      <w:pPr>
        <w:jc w:val="center"/>
      </w:pPr>
      <w:r>
        <w:rPr>
          <w:i/>
          <w:sz w:val="20"/>
        </w:rPr>
        <w:t>Situation au 9 juin 2026</w:t>
      </w:r>
    </w:p>
    <w:p/>
    <w:p>
      <w:r>
        <w:t>À la date du 9 juin 2026, la collecte cumule 786 ménages sur 61 DR couverts par 35 équipes (149 enquêteurs).</w:t>
      </w:r>
    </w:p>
    <w:p>
      <w:pPr>
        <w:pStyle w:val="Heading1"/>
      </w:pPr>
      <w:r>
        <w:rPr>
          <w:color w:val="1F6FEB"/>
        </w:rPr>
        <w:t>1. Indicateurs de qualité de la collecte</w:t>
      </w:r>
    </w:p>
    <w:p>
      <w:r>
        <w:rPr>
          <w:b/>
          <w:color w:val="1E293B"/>
          <w:sz w:val="20"/>
        </w:rPr>
        <w:t>Tableau 1 : Nombre de DR entamés par équipe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DR attendus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DR entamés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DR non identifiés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2 : Nombre de ménages clôturés par équipe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Ménages clôturés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Ménages attendus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3 : Situation de la collecte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Pourcentage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Ménage valide / renseigné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92,0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Ménage non valide / à compléter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4 : Rythme de collecte (ménages finalisés par jour)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Jour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Ménages (jour)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Cumul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2026-06-03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2026-06-04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2026-06-05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2026-06-06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673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2026-06-07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2026-06-08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2026-06-09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786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5 : Couverture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DR couverts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Nb équipes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Urbain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pPr>
        <w:pStyle w:val="Heading1"/>
      </w:pPr>
      <w:r>
        <w:rPr>
          <w:color w:val="1F6FEB"/>
        </w:rPr>
        <w:t>2. Indicateurs de qualité des données</w:t>
      </w:r>
    </w:p>
    <w:p>
      <w:r>
        <w:rPr>
          <w:b/>
          <w:color w:val="1E293B"/>
          <w:sz w:val="20"/>
        </w:rPr>
        <w:t>Tableau 6 : Proportion de visiteurs par équipe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7 : Proportion de visiteurs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Urbain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3 629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2 923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6 552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8 : Taille moyenne des ménages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4320"/>
            <w:shd w:fill="1F6FEB"/>
          </w:tcPr>
          <w:p>
            <w:r>
              <w:rPr>
                <w:b/>
                <w:color w:val="FFFFFF"/>
                <w:sz w:val="18"/>
              </w:rPr>
              <w:t>Taille moyenne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5,7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11,2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12,9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Urbain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Rural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8,7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9 : Proportion d'hommes et de femmes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45,2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54,8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50,2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45,2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54,8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48,6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51,4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49,5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50,5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54,1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52,2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Urbain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10 : Sexe du chef de ménage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CM hommes (%)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CM femmes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68,5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31,5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23,2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54,2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45,8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12,5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84,5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15,5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24,2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84,2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15,8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70,2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29,8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74,2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25,8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78,3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21,7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87,1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12,9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74,2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25,8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82,4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72,5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27,5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Urbain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71,4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82,6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17,4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75,7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24,3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11 : Répartition de la population par tranche d'âge et sexe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Tranche d'âge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% Population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1 738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26,6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15-24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1 362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20,8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25-34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35-44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9,8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45-54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55-64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65+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12 : Proportion de ménages agricoles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Ménages total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Dont agricoles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Urbain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69,5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36,8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13 : Durée médiane d'entretien par équipe (somme des visites)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Nb entretiens horodatés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Durée médiane (min)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% &lt; 30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76,0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76,0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113,0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127,0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130,0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136,0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137,0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139,0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148,0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149,0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152,0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153,0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175,0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206,0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215,0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229,0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238,0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258,0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266,0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286,0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296,0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298,0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305,0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310,0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334,0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347,0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363,0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430,0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441,0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556,0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915,0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14 : Concentration des âges (heaping) par équipe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Nb adultes (23-72)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% âges ronds (0/5)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37,6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Modéré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35,1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Modéré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30,8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Modéré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30,7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Modéré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28,4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Modéré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27,7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26,9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26,6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25,4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25,3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24,7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24,1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23,9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23,8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23,7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22,1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21,2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19,5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19,0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17,3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16,7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16,4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13,8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Faible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15 : Complétude des sections clés par équipe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% S07 (carnet)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% S02 (éduc.)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% S03 (santé)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84,6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88,5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53,6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85,7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95,8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91,7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95,7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95,7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58,3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91,7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91,7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76,9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76,9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89,5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89,5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68,4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84,6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84,6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69,6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95,7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95,7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70,8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78,3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82,6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92,9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92,9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87,0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95,7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95,7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16 : Ratio de masculinité par région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Ratio (H/F ×100)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88,4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82,5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86,6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83,0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87,5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82,6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73,7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94,4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98,1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84,9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91,6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87,9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Urbain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1 677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1 943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86,3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1 555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87,8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3 498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87,0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r>
        <w:rPr>
          <w:b/>
          <w:color w:val="1E293B"/>
          <w:sz w:val="20"/>
        </w:rPr>
        <w:t>Tableau 17 : Nombre de visites par ménage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Nb moyen de visites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% bouclés en 1 visite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28,6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20,8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12,5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2026-06-09</w:t>
      </w:r>
    </w:p>
    <w:p>
      <w:pPr>
        <w:jc w:val="center"/>
      </w:pPr>
      <w:r>
        <w:rPr>
          <w:i/>
          <w:color w:val="64748B"/>
          <w:sz w:val="16"/>
        </w:rPr>
        <w:t>Rapport généré automatiquement le 2026-06-10 03:27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