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EQ24_sup_v2  ·  Équipe : EQ24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KA a declaré que la branche d'activité de sa mère est Commerce alors que la mère elle-même declare comme branche Sans emploi au niveau de la section 4a.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s01q35, s01q36</w:t>
            </w:r>
          </w:p>
        </w:tc>
        <w:tc>
          <w:tcPr>
            <w:tcW w:type="dxa" w:w="1191"/>
          </w:tcPr>
          <w:p>
            <w:r>
              <w:rPr>
                <w:b w:val="0"/>
                <w:i w:val="0"/>
                <w:color w:val="64748B"/>
                <w:sz w:val="16"/>
              </w:rPr>
              <w:t>GT-CQ</w:t>
            </w:r>
          </w:p>
        </w:tc>
        <w:tc>
          <w:tcPr>
            <w:tcW w:type="dxa" w:w="4706"/>
          </w:tcPr>
          <w:p>
            <w:r>
              <w:rPr>
                <w:b w:val="0"/>
                <w:i w:val="0"/>
                <w:sz w:val="17"/>
              </w:rPr>
              <w:t>La catégorie socioprofessionnelle de la mère biologique de  BATHIE DIALLO n'est pas coherente avec les réponses des questions s01q35 et s01q36, prière de corriger ou de confirmer cette informations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ABY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(10000 Fcfa) de ABY KA en 6ème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KA (7100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KA avec une taille de 7 personnes a consommé 2.62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Avertissement! PENDA NIANG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