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4748B"/>
          <w:sz w:val="22"/>
        </w:rPr>
        <w:t>ANSD · EHCVM3 — Sénégal</w:t>
      </w:r>
    </w:p>
    <w:p>
      <w:pPr>
        <w:pStyle w:val="Title"/>
      </w:pPr>
      <w:r>
        <w:rPr>
          <w:color w:val="1F6FEB"/>
        </w:rPr>
        <w:t>Rapport de Suivi du VOLET MÉNAGE</w:t>
      </w:r>
    </w:p>
    <w:p>
      <w:pPr>
        <w:jc w:val="center"/>
      </w:pPr>
      <w:r>
        <w:rPr>
          <w:i/>
          <w:sz w:val="20"/>
        </w:rPr>
        <w:t>Situation au 9 juin 2026</w:t>
      </w:r>
    </w:p>
    <w:p/>
    <w:p>
      <w:r>
        <w:t>À la date du 9 juin 2026  la collecte cumule 786 ménages sur 61 DR couverts par 35 équipes (149 enquêteurs). Au total  75 126 incohérences ont été détectées sur 786 ménages (100.0 %).</w:t>
      </w:r>
    </w:p>
    <w:p>
      <w:pPr>
        <w:pStyle w:val="Heading1"/>
      </w:pPr>
      <w:r>
        <w:rPr>
          <w:color w:val="1F6FEB"/>
        </w:rPr>
        <w:t>1. Indicateurs de qualité de la collecte</w:t>
      </w:r>
    </w:p>
    <w:p>
      <w:r>
        <w:rPr>
          <w:b/>
          <w:color w:val="1E293B"/>
          <w:sz w:val="20"/>
        </w:rPr>
        <w:t>Tableau 1 : Nombre de DR entamés par équipe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6FEB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728"/>
            <w:shd w:fill="1F6FEB"/>
          </w:tcPr>
          <w:p>
            <w:r>
              <w:rPr>
                <w:b/>
                <w:color w:val="FFFFFF"/>
                <w:sz w:val="18"/>
              </w:rPr>
              <w:t>DR attendus</w:t>
            </w:r>
          </w:p>
        </w:tc>
        <w:tc>
          <w:tcPr>
            <w:tcW w:type="dxa" w:w="1728"/>
            <w:shd w:fill="1F6FEB"/>
          </w:tcPr>
          <w:p>
            <w:r>
              <w:rPr>
                <w:b/>
                <w:color w:val="FFFFFF"/>
                <w:sz w:val="18"/>
              </w:rPr>
              <w:t>DR entamés</w:t>
            </w:r>
          </w:p>
        </w:tc>
        <w:tc>
          <w:tcPr>
            <w:tcW w:type="dxa" w:w="1728"/>
            <w:shd w:fill="1F6FEB"/>
          </w:tcPr>
          <w:p>
            <w:r>
              <w:rPr>
                <w:b/>
                <w:color w:val="FFFFFF"/>
                <w:sz w:val="18"/>
              </w:rPr>
              <w:t>DR non identifiés</w:t>
            </w:r>
          </w:p>
        </w:tc>
        <w:tc>
          <w:tcPr>
            <w:tcW w:type="dxa" w:w="1728"/>
            <w:shd w:fill="1F6FEB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33,3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EQ18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EQ16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EQ25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EQ27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EQ34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EQ22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EQ14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EQ32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EQ33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EQ30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EQ31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0,0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2 : Nombre de ménages clôturés par équipe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Ménages clôturés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Ménages attendus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21,3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21,3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21,3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21,3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21,3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19,4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19,4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19,4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19,4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18,5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18,5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17,6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17,6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17,6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15,7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15,7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14,8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14,8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12,0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3 : Situation de la collecte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6FEB"/>
          </w:tcPr>
          <w:p>
            <w:r>
              <w:rPr>
                <w:b/>
                <w:color w:val="FFFFFF"/>
                <w:sz w:val="18"/>
              </w:rPr>
              <w:t>Statut</w:t>
            </w:r>
          </w:p>
        </w:tc>
        <w:tc>
          <w:tcPr>
            <w:tcW w:type="dxa" w:w="2880"/>
            <w:shd w:fill="1F6FEB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fill="1F6FEB"/>
          </w:tcPr>
          <w:p>
            <w:r>
              <w:rPr>
                <w:b/>
                <w:color w:val="FFFFFF"/>
                <w:sz w:val="18"/>
              </w:rPr>
              <w:t>Pourcentage (%)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Ménage valide / renseigné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723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92,0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Ménage non valide / à compléter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8,0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4 : Rythme de collecte (ménages finalisés par jour)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6FEB"/>
          </w:tcPr>
          <w:p>
            <w:r>
              <w:rPr>
                <w:b/>
                <w:color w:val="FFFFFF"/>
                <w:sz w:val="18"/>
              </w:rPr>
              <w:t>Jour</w:t>
            </w:r>
          </w:p>
        </w:tc>
        <w:tc>
          <w:tcPr>
            <w:tcW w:type="dxa" w:w="2880"/>
            <w:shd w:fill="1F6FEB"/>
          </w:tcPr>
          <w:p>
            <w:r>
              <w:rPr>
                <w:b/>
                <w:color w:val="FFFFFF"/>
                <w:sz w:val="18"/>
              </w:rPr>
              <w:t>Ménages (jour)</w:t>
            </w:r>
          </w:p>
        </w:tc>
        <w:tc>
          <w:tcPr>
            <w:tcW w:type="dxa" w:w="2880"/>
            <w:shd w:fill="1F6FEB"/>
          </w:tcPr>
          <w:p>
            <w:r>
              <w:rPr>
                <w:b/>
                <w:color w:val="FFFFFF"/>
                <w:sz w:val="18"/>
              </w:rPr>
              <w:t>Cumul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2026-06-03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411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2026-06-04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523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2026-06-05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593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2026-06-06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673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2026-06-07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703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2026-06-08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768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2026-06-09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786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5 : Couverture par région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DR couverts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Nb équipes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pPr>
        <w:pStyle w:val="Heading1"/>
      </w:pPr>
      <w:r>
        <w:rPr>
          <w:color w:val="1F6FEB"/>
        </w:rPr>
        <w:t>2. Indicateurs de qualité des données</w:t>
      </w:r>
    </w:p>
    <w:p>
      <w:r>
        <w:rPr>
          <w:b/>
          <w:color w:val="1E293B"/>
          <w:sz w:val="20"/>
        </w:rPr>
        <w:t>Tableau 6 : Proportion de visiteurs par équipe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19,6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13,1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10,6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10,5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9,6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8,2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8,1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7,9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7,6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6,5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4,8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4,7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4,6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4,5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4,0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3,9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2,2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2,1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1,9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1,4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1,2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0,9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0,6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0,0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7 : Proportion de visiteurs par région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14,9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7,5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7,0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6,9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6,8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6,1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3,7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1,6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8 : Taille moyenne des ménages par région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6FEB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4320"/>
            <w:shd w:fill="1F6FEB"/>
          </w:tcPr>
          <w:p>
            <w:r>
              <w:rPr>
                <w:b/>
                <w:color w:val="FFFFFF"/>
                <w:sz w:val="18"/>
              </w:rPr>
              <w:t>Taille moyenne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11,2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10,4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10,1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10,0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9,6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8,3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7,2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9 : Proportion d'hommes et de femmes par région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6FEB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fill="1F6FEB"/>
          </w:tcPr>
          <w:p>
            <w:r>
              <w:rPr>
                <w:b/>
                <w:color w:val="FFFFFF"/>
                <w:sz w:val="18"/>
              </w:rPr>
              <w:t>Hommes (%)</w:t>
            </w:r>
          </w:p>
        </w:tc>
        <w:tc>
          <w:tcPr>
            <w:tcW w:type="dxa" w:w="2880"/>
            <w:shd w:fill="1F6FEB"/>
          </w:tcPr>
          <w:p>
            <w:r>
              <w:rPr>
                <w:b/>
                <w:color w:val="FFFFFF"/>
                <w:sz w:val="18"/>
              </w:rPr>
              <w:t>Femmes (%)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46,1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53,9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46,9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53,1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45,2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54,8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46,4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53,6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45,4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54,6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49,8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50,2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46,7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53,3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45,2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54,8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42,4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57,6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48,6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51,4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49,5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50,5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45,9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54,1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47,8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52,2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46,8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53,2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10 : Sexe du chef de ménage par région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6FEB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fill="1F6FEB"/>
          </w:tcPr>
          <w:p>
            <w:r>
              <w:rPr>
                <w:b/>
                <w:color w:val="FFFFFF"/>
                <w:sz w:val="18"/>
              </w:rPr>
              <w:t>CM hommes (%)</w:t>
            </w:r>
          </w:p>
        </w:tc>
        <w:tc>
          <w:tcPr>
            <w:tcW w:type="dxa" w:w="2880"/>
            <w:shd w:fill="1F6FEB"/>
          </w:tcPr>
          <w:p>
            <w:r>
              <w:rPr>
                <w:b/>
                <w:color w:val="FFFFFF"/>
                <w:sz w:val="18"/>
              </w:rPr>
              <w:t>CM femmes (%)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68,5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31,5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76,8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23,2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54,2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45,8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87,5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12,5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84,5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15,5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75,8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24,2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84,2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15,8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70,2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29,8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74,2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25,8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78,3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21,7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87,1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74,2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25,8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82,4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17,6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72,5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27,5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11 : Répartition de la population par tranche d'âge et sexe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6FEB"/>
          </w:tcPr>
          <w:p>
            <w:r>
              <w:rPr>
                <w:b/>
                <w:color w:val="FFFFFF"/>
                <w:sz w:val="18"/>
              </w:rPr>
              <w:t>Tranche d'âge</w:t>
            </w:r>
          </w:p>
        </w:tc>
        <w:tc>
          <w:tcPr>
            <w:tcW w:type="dxa" w:w="1728"/>
            <w:shd w:fill="1F6FEB"/>
          </w:tcPr>
          <w:p>
            <w:r>
              <w:rPr>
                <w:b/>
                <w:color w:val="FFFFFF"/>
                <w:sz w:val="18"/>
              </w:rPr>
              <w:t>Hommes</w:t>
            </w:r>
          </w:p>
        </w:tc>
        <w:tc>
          <w:tcPr>
            <w:tcW w:type="dxa" w:w="1728"/>
            <w:shd w:fill="1F6FEB"/>
          </w:tcPr>
          <w:p>
            <w:r>
              <w:rPr>
                <w:b/>
                <w:color w:val="FFFFFF"/>
                <w:sz w:val="18"/>
              </w:rPr>
              <w:t>Femmes</w:t>
            </w:r>
          </w:p>
        </w:tc>
        <w:tc>
          <w:tcPr>
            <w:tcW w:type="dxa" w:w="1728"/>
            <w:shd w:fill="1F6FEB"/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  <w:tc>
          <w:tcPr>
            <w:tcW w:type="dxa" w:w="1728"/>
            <w:shd w:fill="1F6FEB"/>
          </w:tcPr>
          <w:p>
            <w:r>
              <w:rPr>
                <w:b/>
                <w:color w:val="FFFFFF"/>
                <w:sz w:val="18"/>
              </w:rPr>
              <w:t>% Population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0-4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434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838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12,8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5-14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849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889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1 738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26,6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15-24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618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744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1 362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20,8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25-34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382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457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839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12,8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35-44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265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378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643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9,8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45-54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230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458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55-64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149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185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334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5,1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65+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144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177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4,9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12 : Proportion de ménages agricoles par région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Ménages total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Dont agricoles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67,7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67,7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65,4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57,5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57,1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54,7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51,3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43,5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37,1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34,9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32,2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24,1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4,2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13 : Durée médiane d'entretien par équipe (somme des visites)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Nb entretiens horodatés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Durée médiane (min)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% &lt; 30 min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76,0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6,7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76,0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10,0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96,0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6,7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97,0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7,7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113,0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127,0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130,0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7,1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136,0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12,5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137,0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0,0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139,0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8,7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148,0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8,3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149,0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0,0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150,0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152,0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4,5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153,0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4,8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175,0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202,0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4,8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206,0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17,6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215,0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4,5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229,0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0,0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238,0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0,0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258,0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0,0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266,0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0,0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286,0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0,0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296,0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298,0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11,8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305,0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310,0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25,0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334,0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10,5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347,0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0,0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363,0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430,0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0,0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441,0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0,0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556,0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14,3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915,0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0,0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14 : Concentration des âges (heaping) par équipe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Nb adultes (23-72)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% âges ronds (0/5)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Qualité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37,6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Modéré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35,1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Modéré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30,8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Modéré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30,7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Modéré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28,4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Modéré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27,7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27,0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26,9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26,6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25,4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25,3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24,7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24,1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23,9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23,8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23,7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22,8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22,1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21,7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21,7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21,2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19,5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19,0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18,8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18,3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17,9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17,5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17,3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16,7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16,4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15,9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15,5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13,8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7,5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Faible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15 : Complétude des sections clés par équipe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6FEB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728"/>
            <w:shd w:fill="1F6FEB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1728"/>
            <w:shd w:fill="1F6FEB"/>
          </w:tcPr>
          <w:p>
            <w:r>
              <w:rPr>
                <w:b/>
                <w:color w:val="FFFFFF"/>
                <w:sz w:val="18"/>
              </w:rPr>
              <w:t>% S07 (carnet)</w:t>
            </w:r>
          </w:p>
        </w:tc>
        <w:tc>
          <w:tcPr>
            <w:tcW w:type="dxa" w:w="1728"/>
            <w:shd w:fill="1F6FEB"/>
          </w:tcPr>
          <w:p>
            <w:r>
              <w:rPr>
                <w:b/>
                <w:color w:val="FFFFFF"/>
                <w:sz w:val="18"/>
              </w:rPr>
              <w:t>% S02 (éduc.)</w:t>
            </w:r>
          </w:p>
        </w:tc>
        <w:tc>
          <w:tcPr>
            <w:tcW w:type="dxa" w:w="1728"/>
            <w:shd w:fill="1F6FEB"/>
          </w:tcPr>
          <w:p>
            <w:r>
              <w:rPr>
                <w:b/>
                <w:color w:val="FFFFFF"/>
                <w:sz w:val="18"/>
              </w:rPr>
              <w:t>% S03 (santé)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35,0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50,0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84,6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88,5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52,0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92,0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92,0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52,0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96,0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96,0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52,2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53,6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85,7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54,2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95,8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91,7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EQ30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56,5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95,7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95,7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EQ33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58,3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91,7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91,7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60,0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80,0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80,0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EQ25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60,0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95,0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95,0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EQ32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60,0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61,5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76,9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76,9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EQ34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63,2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89,5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89,5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EQ22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63,2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89,5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89,5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64,0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92,0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92,0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EQ14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EQ16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95,2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95,2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68,2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EQ18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68,4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69,2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84,6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84,6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69,6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95,7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95,7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70,8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72,0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92,0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92,0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EQ27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75,0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78,3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EQ31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81,2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82,6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92,9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92,9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87,0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95,7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95,7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87,5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89,5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96,0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96,0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96,0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16 : Ratio de masculinité par région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Hommes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Femmes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Ratio (H/F ×100)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99,1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98,1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94,4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91,6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88,4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87,9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87,5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86,6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85,5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84,9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83,0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82,6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82,5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73,7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17 : Nombre de visites par ménage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6FEB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fill="1F6FEB"/>
          </w:tcPr>
          <w:p>
            <w:r>
              <w:rPr>
                <w:b/>
                <w:color w:val="FFFFFF"/>
                <w:sz w:val="18"/>
              </w:rPr>
              <w:t>Nb moyen de visites</w:t>
            </w:r>
          </w:p>
        </w:tc>
        <w:tc>
          <w:tcPr>
            <w:tcW w:type="dxa" w:w="2880"/>
            <w:shd w:fill="1F6FEB"/>
          </w:tcPr>
          <w:p>
            <w:r>
              <w:rPr>
                <w:b/>
                <w:color w:val="FFFFFF"/>
                <w:sz w:val="18"/>
              </w:rPr>
              <w:t>% bouclés en 1 visite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2,4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28,6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EQ28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2,5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20,8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EQ23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2,7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8,7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EQ34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2,7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10,5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EQ17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2,8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12,5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EQ19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2,8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2,8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4,5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2,8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2,8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8,7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2,9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2,9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2,9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4,2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2,9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5,9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EQ33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2,9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4,8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2,9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2,9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2,9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2,9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EQ31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2,9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EQ32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EQ29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EQ27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EQ21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EQ24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EQ35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0,0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pPr>
        <w:pStyle w:val="Heading1"/>
      </w:pPr>
      <w:r>
        <w:rPr>
          <w:color w:val="1F6FEB"/>
        </w:rPr>
        <w:t>3. Apurement — incohérences détectées</w:t>
      </w:r>
    </w:p>
    <w:p>
      <w:r>
        <w:t xml:space="preserve">Synthèse des incohérences (GT-CQ + complément + cohérence). Sévérité : </w:t>
      </w:r>
      <w:r>
        <w:rPr>
          <w:b/>
        </w:rPr>
        <w:t>Haute</w:t>
      </w:r>
      <w:r>
        <w:t xml:space="preserve"> = à corriger en priorité ; </w:t>
      </w:r>
      <w:r>
        <w:rPr>
          <w:b/>
        </w:rPr>
        <w:t>Moyenne</w:t>
      </w:r>
      <w:r>
        <w:t xml:space="preserve"> / </w:t>
      </w:r>
      <w:r>
        <w:rPr>
          <w:b/>
        </w:rPr>
        <w:t>Faible</w:t>
      </w:r>
      <w:r>
        <w:t xml:space="preserve"> = à vérifier / information.</w:t>
      </w:r>
    </w:p>
    <w:p>
      <w:r>
        <w:rPr>
          <w:b/>
          <w:color w:val="1E293B"/>
          <w:sz w:val="20"/>
        </w:rPr>
        <w:t>Tableau 18 : Synthèse des rejets par équipe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1F6FEB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080"/>
            <w:shd w:fill="1F6FEB"/>
          </w:tcPr>
          <w:p>
            <w:r>
              <w:rPr>
                <w:b/>
                <w:color w:val="FFFFFF"/>
                <w:sz w:val="18"/>
              </w:rPr>
              <w:t>Ménages collectés</w:t>
            </w:r>
          </w:p>
        </w:tc>
        <w:tc>
          <w:tcPr>
            <w:tcW w:type="dxa" w:w="1080"/>
            <w:shd w:fill="1F6FEB"/>
          </w:tcPr>
          <w:p>
            <w:r>
              <w:rPr>
                <w:b/>
                <w:color w:val="FFFFFF"/>
                <w:sz w:val="18"/>
              </w:rPr>
              <w:t>Ménages avec rejet</w:t>
            </w:r>
          </w:p>
        </w:tc>
        <w:tc>
          <w:tcPr>
            <w:tcW w:type="dxa" w:w="1080"/>
            <w:shd w:fill="1F6FEB"/>
          </w:tcPr>
          <w:p>
            <w:r>
              <w:rPr>
                <w:b/>
                <w:color w:val="FFFFFF"/>
                <w:sz w:val="18"/>
              </w:rPr>
              <w:t>Haute</w:t>
            </w:r>
          </w:p>
        </w:tc>
        <w:tc>
          <w:tcPr>
            <w:tcW w:type="dxa" w:w="1080"/>
            <w:shd w:fill="1F6FEB"/>
          </w:tcPr>
          <w:p>
            <w:r>
              <w:rPr>
                <w:b/>
                <w:color w:val="FFFFFF"/>
                <w:sz w:val="18"/>
              </w:rPr>
              <w:t>Moyenne</w:t>
            </w:r>
          </w:p>
        </w:tc>
        <w:tc>
          <w:tcPr>
            <w:tcW w:type="dxa" w:w="1080"/>
            <w:shd w:fill="1F6FEB"/>
          </w:tcPr>
          <w:p>
            <w:r>
              <w:rPr>
                <w:b/>
                <w:color w:val="FFFFFF"/>
                <w:sz w:val="18"/>
              </w:rPr>
              <w:t>Faible</w:t>
            </w:r>
          </w:p>
        </w:tc>
        <w:tc>
          <w:tcPr>
            <w:tcW w:type="dxa" w:w="1080"/>
            <w:shd w:fill="1F6FEB"/>
          </w:tcPr>
          <w:p>
            <w:r>
              <w:rPr>
                <w:b/>
                <w:color w:val="FFFFFF"/>
                <w:sz w:val="18"/>
              </w:rPr>
              <w:t>Total rejets</w:t>
            </w:r>
          </w:p>
        </w:tc>
        <w:tc>
          <w:tcPr>
            <w:tcW w:type="dxa" w:w="1080"/>
            <w:shd w:fill="1F6FEB"/>
          </w:tcPr>
          <w:p>
            <w:r>
              <w:rPr>
                <w:b/>
                <w:color w:val="FFFFFF"/>
                <w:sz w:val="18"/>
              </w:rPr>
              <w:t>Rejets/ménage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EQ29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3 526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399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4 405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176,2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EQ27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672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1 976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244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2 892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120,5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EQ26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2 167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383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2 880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115,2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EQ14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1 804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279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2 802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116,8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2 105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174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2 795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107,5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EQ13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339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2 162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254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2 755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125,2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267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2 147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2 644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110,2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EQ12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306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1 968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253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2 527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105,3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408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1 772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171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2 351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90,4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268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1 877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189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2 334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83,4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EQ23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174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1 905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224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2 303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100,1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EQ28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279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1 713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214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2 206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88,2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EQ10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253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1 689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193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2 135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92,8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198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1 715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199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2 112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84,5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EQ31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313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1 565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231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2 109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131,8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EQ22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317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1 497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288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2 102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110,6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EQ33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297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1 604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186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2 087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99,4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342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1 485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222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2 049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89,1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292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1 586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2 042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102,1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EQ21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268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1 515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236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2 019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112,2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EQ25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368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1 392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234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1 994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99,7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336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1 410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233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1 979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86,0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EQ34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211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1 536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229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1 976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104,0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344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1 439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193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1 976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76,0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242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1 573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131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1 946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84,6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EQ32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1 442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185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1 929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96,5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363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1 290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1 869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89,0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EQ35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277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1 289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229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1 795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74,8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EQ11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210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1 334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1 760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76,5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EQ17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258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1 311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145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1 714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71,4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EQ15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205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1 281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175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1 661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87,4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EQ18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144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1 208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1 506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79,3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224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921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1 364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54,6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EQ24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352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514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1 326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53,0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EQ9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569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782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55,9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19 : Top 15 types d'incohérences les plus fréquents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6FEB"/>
          </w:tcPr>
          <w:p>
            <w:r>
              <w:rPr>
                <w:b/>
                <w:color w:val="FFFFFF"/>
                <w:sz w:val="18"/>
              </w:rPr>
              <w:t>Section</w:t>
            </w:r>
          </w:p>
        </w:tc>
        <w:tc>
          <w:tcPr>
            <w:tcW w:type="dxa" w:w="1728"/>
            <w:shd w:fill="1F6FEB"/>
          </w:tcPr>
          <w:p>
            <w:r>
              <w:rPr>
                <w:b/>
                <w:color w:val="FFFFFF"/>
                <w:sz w:val="18"/>
              </w:rPr>
              <w:t>Sévérité</w:t>
            </w:r>
          </w:p>
        </w:tc>
        <w:tc>
          <w:tcPr>
            <w:tcW w:type="dxa" w:w="1728"/>
            <w:shd w:fill="1F6FEB"/>
          </w:tcPr>
          <w:p>
            <w:r>
              <w:rPr>
                <w:b/>
                <w:color w:val="FFFFFF"/>
                <w:sz w:val="18"/>
              </w:rPr>
              <w:t>Type d'incohérence (modèle)</w:t>
            </w:r>
          </w:p>
        </w:tc>
        <w:tc>
          <w:tcPr>
            <w:tcW w:type="dxa" w:w="1728"/>
            <w:shd w:fill="1F6FEB"/>
          </w:tcPr>
          <w:p>
            <w:r>
              <w:rPr>
                <w:b/>
                <w:color w:val="FFFFFF"/>
                <w:sz w:val="18"/>
              </w:rPr>
              <w:t>Nb cas</w:t>
            </w:r>
          </w:p>
        </w:tc>
        <w:tc>
          <w:tcPr>
            <w:tcW w:type="dxa" w:w="1728"/>
            <w:shd w:fill="1F6FEB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… de corriger ou de confirmer avec le ….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3 743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722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… manque des informations non renseignées de …, prière de renseignés toutes les questions 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1 584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… manque des informations non renseignées de ( … … ), prière de renseignés toutes les ques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1 189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167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… de verifier l'information donnée par … … ou corriger au niveau de la section #.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1 181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352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… ménage a consommé … mais les informations sur la quantité, l'unité ou la taille ne sont 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… section sur le repas pris à l'extérieur du ménage du membre … … n'est pas renseignée à #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651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… de bien vouloir changé #.#en … et renseigné toutes les autres informations qui concerne 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645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293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… ou la localisation du ménage doit être bien renseignée, ne doit pas contenir des numéros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622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622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…! … … a declaré que la catégorie socioprofessionnelle de son père est alors que le père 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488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138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S16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… somme des quantités consommées (#kg), des quantités offertes (#kg), des quantités vendus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477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… les milieux urbains c'est peu probable de voir une école dont les élèves ou étudiants 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473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217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…! … … a declaré que la catégorie socioprofessionnelle de sa mère est alors que la mère 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465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146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…, s'il vous plaît, confirmer cette information avec le … ou la corriger.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446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313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…!! … niveau d'instruction déclaré par l'un des enfants () au niveau de la section #de … …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439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S09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) est relativement élevé.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319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20 : Rejets par section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Section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Total rejets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Dont Haute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16 028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714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13 991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715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8 654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4 581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786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6 039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733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5 506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515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4 690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1 781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719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2 863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679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2 729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775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2 136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589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1 846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559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1 790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298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1 010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288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310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299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39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21 : Top 15 variables les plus en erreur (indicatif)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Section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Nb cas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s01q30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14 445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555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s01q29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13 724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609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s01q25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12 682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442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s04q46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12 207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473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s00q08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6 338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624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s00q10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6 207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651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s00q07a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6 019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623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s00q23b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5 676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584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s00q23a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5 676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584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s00q13_0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5 676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584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s00q17_0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5 676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584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s00q15_0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5 676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584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s02q15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3 813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691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s00q04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3 736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696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s02q04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2 734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684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22 : Évolution des rejets vs snapshot précédent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Indicateur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2026-06-06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2026-06-09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Haute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7 244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8 849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1 605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Moyenne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46 774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56 287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9 513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Faible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5 836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6 488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652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Total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59 854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71 624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11 770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Ménages flagués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110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23 : Top 15 DR avec le plus de rejets HAUTE sévérité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DR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Nb rejets HAUTE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Nb ménages concernés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(DR non identifié)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EQ14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014301220014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EQ3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061203020020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EQ27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092203050027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EQ27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(DR non identifié)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EQ31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062202010008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EQ29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011301410011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EQ2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013202020050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EQ6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051203010031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EQ16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053202020003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EQ20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011301130032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EQ1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(DR non identifié)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EQ30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(DR non identifié)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EQ33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032202050007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EQ25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033202050056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EQ24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24 : Top 15 enquêteurs avec le plus de rejets par ménage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6FEB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728"/>
            <w:shd w:fill="1F6FEB"/>
          </w:tcPr>
          <w:p>
            <w:r>
              <w:rPr>
                <w:b/>
                <w:color w:val="FFFFFF"/>
                <w:sz w:val="18"/>
              </w:rPr>
              <w:t>Enquêteur</w:t>
            </w:r>
          </w:p>
        </w:tc>
        <w:tc>
          <w:tcPr>
            <w:tcW w:type="dxa" w:w="1728"/>
            <w:shd w:fill="1F6FEB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1728"/>
            <w:shd w:fill="1F6FEB"/>
          </w:tcPr>
          <w:p>
            <w:r>
              <w:rPr>
                <w:b/>
                <w:color w:val="FFFFFF"/>
                <w:sz w:val="18"/>
              </w:rPr>
              <w:t>Nb rejets</w:t>
            </w:r>
          </w:p>
        </w:tc>
        <w:tc>
          <w:tcPr>
            <w:tcW w:type="dxa" w:w="1728"/>
            <w:shd w:fill="1F6FEB"/>
          </w:tcPr>
          <w:p>
            <w:r>
              <w:rPr>
                <w:b/>
                <w:color w:val="FFFFFF"/>
                <w:sz w:val="18"/>
              </w:rPr>
              <w:t>Rejets/ménage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EQ31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EQ31_enq2_v2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504,0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EQ29_enq1_v2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357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357,0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EQ7_enq3_v2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978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326,0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EQ29_enq3_v2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1 165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291,2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EQ22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EQ22_enq4_v2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270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270,0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EQ34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EQ34_enq4_v2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269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269,0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EQ10_enq1_v2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776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258,7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EQ3_enq5_v2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675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225,0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EQ21_enq1_v2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206,5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EQ21_enq3_v2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205,0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EQ1_enq5_v2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196,0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EQ22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EQ22_enq1_v2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386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193,0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EQ1_enq1_v2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190,0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EQ28_enq1_v2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378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189,0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EQ5_enq2_v2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563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187,7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pPr>
        <w:jc w:val="center"/>
      </w:pPr>
      <w:r>
        <w:rPr>
          <w:i/>
          <w:color w:val="64748B"/>
          <w:sz w:val="16"/>
        </w:rPr>
        <w:t>Rapport généré automatiquement le 2026-06-09 13:33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