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87-68-26-86</w:t>
      </w:r>
    </w:p>
    <w:p>
      <w:r>
        <w:rPr>
          <w:b w:val="0"/>
          <w:i w:val="0"/>
          <w:color w:val="64748B"/>
          <w:sz w:val="18"/>
        </w:rPr>
        <w:t>Enquêteur : EQ10_enq3_v2 (SEYNI FALL)  ·  Équipe : EQ10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81201050014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87-68-26-86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SOUDE KA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77 560 03 65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NGANADO BASSALY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EQ10_enq3_v2  (SEYNI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CHEIKH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2026-06-28T09:54:46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3 personnes et la taille du ménage est de 2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Soude Ka diffère de celui donné par Soude Ka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BINTA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Soude Ka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COURA KA,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Soude Ka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SOUDE KA (14000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Soude Ka (3000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(83.33334 Fcfa) de Thé (Ataya) en Paquet (Grand)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SOUDE KA (1000 Fcfa) au cours de 7 derniers jours de Transport urbain en bus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SOUDE KA (500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SOUDE KA (6000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pour Achat de batteries pour plaque solaire et autre équipement/matériel pour installation solaire  semble trop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SOUDE KA (125 Fcfa) au cours de 12 derniers mois de Achat de batteries pour plaque solaire et autre équipement/matériel pour installation solaire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s01q05, s02q28, s04q35e, s04q49, s06cq02c, s07bq01, s07bq07b, s11q14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SOUDE KA pour la main-d'oeuvre non-familiale sur la parcelle Parcelle Niébé au cours de la campagne pour la période de préparation du sol (labour) et des semis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s01q22, s02q08, s02q15, s06cq02e, s07bq01, s07bq07b, s11q19, s16aq40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SOUDE KA pour la main-d'oeuvre non-familiale sur la parcelle Parcelle Niébé au cours de la campagne pour la période d'entretien du sol (sarclage, etc.)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s02q20, s04q35b, s06q01__1, s11q31__7, s16aq42,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SOUDE KA pour la main-d'oeuvre non-familiale sur la parcelle Parcelle Niébé au cours de la campagne pour la période des récoltes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Pour la parcelle Parcelle Niébé la quantité estimée (2 Kg) est incorrecte (Exemple : si le ménage a eu 10 sacs de 100kg = 10*100=1000kg), prière de corriger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(15000 FCFA) de Soude Ka semble trop faible pour un revenu net gagné par trimestre.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18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(83.33334 Fcfa) de Thé (Ataya) (unité: Paquet) de taille Grand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SOUDE KA a comme taille 2 personnes dont ils vivent à LOUGA Rural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(2500 FCFA) de Hache/pioche est inférieur aux prix de revente (3000 FCFA), prière de verifier et corriger ou confirmer l'information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11:51:40] </w:t>
      </w:r>
      <w:r>
        <w:rPr>
          <w:b/>
          <w:i w:val="0"/>
          <w:color w:val="1F6FEB"/>
          <w:sz w:val="16"/>
        </w:rPr>
        <w:t xml:space="preserve">EQ10_enq3_v2 </w:t>
      </w:r>
      <w:r>
        <w:rPr>
          <w:b w:val="0"/>
          <w:i w:val="0"/>
          <w:color w:val="64748B"/>
          <w:sz w:val="16"/>
        </w:rPr>
        <w:t xml:space="preserve">sur s00q28 : </w:t>
      </w:r>
      <w:r>
        <w:rPr>
          <w:b w:val="0"/>
          <w:i w:val="0"/>
          <w:sz w:val="17"/>
        </w:rPr>
        <w:t>j’avais une interpréte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