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95-56-13-33</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95-56-13-33</w:t>
            </w:r>
          </w:p>
        </w:tc>
        <w:tc>
          <w:tcPr>
            <w:tcW w:type="dxa" w:w="3551"/>
            <w:shd w:fill="F8FAFC"/>
          </w:tcPr>
          <w:p>
            <w:r>
              <w:rPr>
                <w:b w:val="0"/>
                <w:i w:val="0"/>
                <w:color w:val="64748B"/>
                <w:sz w:val="14"/>
              </w:rPr>
              <w:t>CHEF DE MÉNAGE</w:t>
              <w:br/>
            </w:r>
            <w:r>
              <w:rPr>
                <w:b/>
                <w:i w:val="0"/>
                <w:sz w:val="18"/>
              </w:rPr>
              <w:t>SOKHNA MBOW</w:t>
            </w:r>
          </w:p>
        </w:tc>
      </w:tr>
      <w:tr>
        <w:tc>
          <w:tcPr>
            <w:tcW w:type="dxa" w:w="3551"/>
            <w:shd w:fill="F8FAFC"/>
          </w:tcPr>
          <w:p>
            <w:r>
              <w:rPr>
                <w:b w:val="0"/>
                <w:i w:val="0"/>
                <w:color w:val="64748B"/>
                <w:sz w:val="14"/>
              </w:rPr>
              <w:t>TÉLÉPHONE CM</w:t>
              <w:br/>
            </w:r>
            <w:r>
              <w:rPr>
                <w:b/>
                <w:i w:val="0"/>
                <w:sz w:val="18"/>
              </w:rPr>
              <w:t>70 523 24 16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2026-06-17T10:01:39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Mbow diffère de celui donné par Sokhna Mbow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montant(10750 FCFA) des dépenses pour chaque visite prénatale de Fatou Diassé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Thiam (6450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SOKHNA MBOW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SOKHNA MBOW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Le principal motif du transfert est ravetaillement.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4072.09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