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NIANG CM) , prière de renseigner toutes les questions liées à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CM diffère de celui donné par BABACAR NIANG CM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repartion porte raparation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THIERE DIOUM cherche un emploi est recherche de financement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CM ), prière de renseignés toutes les questions liées à ( BABACAR NIANG CM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MOR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THIERE DIOUM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NIANG CM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CM ), prière de renseignés toutes les questions liées à ( BABACAR NIANG CM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 prière de renseignés toutes les questions liées à ( BABACAR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MOR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DIOUM ), prière de renseignés toutes les questions liées à ( MARIAMA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MAGUETTE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NIANG ), prière de renseignés toutes les questions liées à ( NDEYE MAGUETTE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NIANG ), prière de renseignés toutes les questions liées à ( ROKHY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repartion porte raparation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repartion porte raparation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repartion porte raparation n'a pas effectué des dépenses ou faire des reventes des marchandises ou des produits ou rendre de service.La main d'oeuvre sariale q'une personne a travaillée ayant travaillé dans cette entreprise repartion porte raparation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repartion porte raparation, prière de renseignés toutes les questions liées à repartion porte raparation.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w:t>
            </w:r>
          </w:p>
        </w:tc>
        <w:tc>
          <w:tcPr>
            <w:tcW w:type="dxa" w:w="6520"/>
          </w:tcPr>
          <w:p>
            <w:r>
              <w:rPr>
                <w:b w:val="0"/>
                <w:i w:val="0"/>
                <w:sz w:val="17"/>
              </w:rPr>
              <w:t>Incohérence. L'expéditeur est la conjointe du chef de ménage. Alors, le bénéficiaire ne peut être son conjoint.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s13q31</w:t>
            </w:r>
          </w:p>
        </w:tc>
        <w:tc>
          <w:tcPr>
            <w:tcW w:type="dxa" w:w="6520"/>
          </w:tcPr>
          <w:p>
            <w:r>
              <w:rPr>
                <w:b w:val="0"/>
                <w:i w:val="0"/>
                <w:sz w:val="17"/>
              </w:rPr>
              <w:t>Si le bénéficiaire est le conjoint de l'expiditeur,son sexe  doit etre différent  de celui l'expiditeur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mil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mil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BABACAR NIANG CM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MAME BAYE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MOR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THIERE DIOUM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