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11-06-47-31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11-06-47-31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MR BARRY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77 737 44 14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REZ-DE-CHAUSS 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2026-06-19T11:28:03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DAOUDA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ELHADJI OMAR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OUSMANE BARRY diffère de celui donné par OUSMANE BARRY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DAOUDA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ELHADJI OMAR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2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RAMATOULAYE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Dans les milieux urbains c'est peu probable de voir une école dont les élèves ou étudiants ne dépensent pas en frais d'uniformes, prière de verifier pour IBRAHIMA BARRY 2 qui fréquente 2ème année de Primaire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OUSMANE BARRY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MBENE DIENE semble très élevés, prière de corriger ou confirmer avec le QG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MBENE DIENE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(11000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(3000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(4500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Contraceptifs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(35000 Fcfa) au cours de 12 derniers mois de Linge de maison et articles associés (serviettes de bain, drap, couverture, couvre-lit, oreillers, moustiquaire, nattes, tapis, rideaux, éventail,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(70000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OUSMANE BARRY, prière de reprendre la section agriculture du ménage OUSMANE BARRY.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nombre d'heure (78 heures) consacré à faire des courses au cours des 7 derniers jours au marché ou travaux menager ou lessive etc..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