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11-64-26-59</w:t>
      </w:r>
    </w:p>
    <w:p>
      <w:r>
        <w:rPr>
          <w:b w:val="0"/>
          <w:i w:val="0"/>
          <w:color w:val="64748B"/>
          <w:sz w:val="18"/>
        </w:rPr>
        <w:t>Enquêteur : EQ31_enq1_v2 (SALIOU NDIAYE)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11-64-26-59</w:t>
            </w:r>
          </w:p>
        </w:tc>
        <w:tc>
          <w:tcPr>
            <w:tcW w:type="dxa" w:w="3551"/>
            <w:shd w:fill="F8FAFC"/>
          </w:tcPr>
          <w:p>
            <w:r>
              <w:rPr>
                <w:b w:val="0"/>
                <w:i w:val="0"/>
                <w:color w:val="64748B"/>
                <w:sz w:val="14"/>
              </w:rPr>
              <w:t>CHEF DE MÉNAGE</w:t>
              <w:br/>
            </w:r>
            <w:r>
              <w:rPr>
                <w:b/>
                <w:i w:val="0"/>
                <w:sz w:val="18"/>
              </w:rPr>
              <w:t>SEKOU BOIRO</w:t>
            </w:r>
          </w:p>
        </w:tc>
      </w:tr>
      <w:tr>
        <w:tc>
          <w:tcPr>
            <w:tcW w:type="dxa" w:w="3551"/>
            <w:shd w:fill="F8FAFC"/>
          </w:tcPr>
          <w:p>
            <w:r>
              <w:rPr>
                <w:b w:val="0"/>
                <w:i w:val="0"/>
                <w:color w:val="64748B"/>
                <w:sz w:val="14"/>
              </w:rPr>
              <w:t>TÉLÉPHONE CM</w:t>
              <w:br/>
            </w:r>
            <w:r>
              <w:rPr>
                <w:b/>
                <w:i w:val="0"/>
                <w:sz w:val="18"/>
              </w:rPr>
              <w:t>78 580 73 48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2026-05-23T09:22:58</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kady boiro est trop jeune ou vielle pour avoir kady boiro selon l'écart d'âge (12 ans) entre lui et sa mère, prière de revoir l'âge de kady boiro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Oumou gano diffère de celui donné par Oumou gano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Rouby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2 boiro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gano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Adama boiro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Aïsatou boiro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Diabou boiro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Hawa boiro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Rouby boiro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Seckou boiro qui fréquente 5ème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(2000 Fcfa) de Omar boiro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sekou boiro,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boiro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SEKOU BOIRO (212000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(6000 Fcfa) au cours de 12 derniers mois de Pièces détachées de moyens de transport individuel: pneu, batterie, bougie, carburateur, etc est relativement élevé.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(1500 FCFA pour 30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37.5 FCFA par Gramme qui semble faible, prière de vérifier  le montant d'achat (1500 FCFA pour 40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180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300 FCFA par Unité (plants, boutures, etc.) qui semble faible, prière de vérifier  le montant d'achat (3000 FCFA pour 10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 FCFA qui semble élevé, prière de verifier le montant tiré de la vente (15000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seydi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kady boiro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sekou boiro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Dienebou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boiro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Oumou gano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seydi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[2026-05-24 10:47:35]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13:57:02]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16:07:22]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17:23:58] </w:t>
      </w:r>
      <w:r>
        <w:rPr>
          <w:b/>
          <w:i w:val="0"/>
          <w:color w:val="1F6FEB"/>
          <w:sz w:val="16"/>
        </w:rPr>
        <w:t xml:space="preserve">EQ31_sup_v2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[2026-06-21 13:03:52] </w:t>
      </w:r>
      <w:r>
        <w:rPr>
          <w:b/>
          <w:i w:val="0"/>
          <w:color w:val="1F6FEB"/>
          <w:sz w:val="16"/>
        </w:rPr>
        <w:t xml:space="preserve">EQ31_sup_v2 </w:t>
      </w:r>
      <w:r>
        <w:rPr>
          <w:b w:val="0"/>
          <w:i w:val="0"/>
          <w:color w:val="64748B"/>
          <w:sz w:val="16"/>
        </w:rPr>
        <w:t xml:space="preserve">sur @@RejectedBySupervisor : </w:t>
      </w:r>
      <w:r>
        <w:rPr>
          <w:b w:val="0"/>
          <w:i w:val="0"/>
          <w:sz w:val="17"/>
        </w:rPr>
        <w:t>"Voirle rejet et confirme "</w:t>
      </w:r>
    </w:p>
    <w:p>
      <w:pPr>
        <w:pStyle w:val="ListBullet"/>
      </w:pPr>
      <w:r>
        <w:rPr>
          <w:b w:val="0"/>
          <w:i w:val="0"/>
          <w:color w:val="64748B"/>
          <w:sz w:val="16"/>
        </w:rPr>
        <w:t xml:space="preserve">[2026-06-26 15:14:44] </w:t>
      </w:r>
      <w:r>
        <w:rPr>
          <w:b/>
          <w:i w:val="0"/>
          <w:color w:val="1F6FEB"/>
          <w:sz w:val="16"/>
        </w:rPr>
        <w:t xml:space="preserve">EQ31_sup_v2 </w:t>
      </w:r>
      <w:r>
        <w:rPr>
          <w:b w:val="0"/>
          <w:i w:val="0"/>
          <w:color w:val="64748B"/>
          <w:sz w:val="16"/>
        </w:rPr>
        <w:t xml:space="preserve">sur @@ApprovedBySupervisor : </w:t>
      </w:r>
      <w:r>
        <w:rPr>
          <w:b w:val="0"/>
          <w:i w:val="0"/>
          <w:sz w:val="17"/>
        </w:rPr>
        <w:t>Ras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