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04-02-14-25</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04-02-14-25</w:t>
            </w:r>
          </w:p>
        </w:tc>
        <w:tc>
          <w:tcPr>
            <w:tcW w:type="dxa" w:w="3551"/>
            <w:shd w:fill="F8FAFC"/>
          </w:tcPr>
          <w:p>
            <w:r>
              <w:rPr>
                <w:b w:val="0"/>
                <w:i w:val="0"/>
                <w:color w:val="64748B"/>
                <w:sz w:val="14"/>
              </w:rPr>
              <w:t>CHEF DE MÉNAGE</w:t>
              <w:br/>
            </w:r>
            <w:r>
              <w:rPr>
                <w:b/>
                <w:i w:val="0"/>
                <w:sz w:val="18"/>
              </w:rPr>
              <w:t>AISSATA NDIAYE</w:t>
            </w:r>
          </w:p>
        </w:tc>
      </w:tr>
      <w:tr>
        <w:tc>
          <w:tcPr>
            <w:tcW w:type="dxa" w:w="3551"/>
            <w:shd w:fill="F8FAFC"/>
          </w:tcPr>
          <w:p>
            <w:r>
              <w:rPr>
                <w:b w:val="0"/>
                <w:i w:val="0"/>
                <w:color w:val="64748B"/>
                <w:sz w:val="14"/>
              </w:rPr>
              <w:t>TÉLÉPHONE CM</w:t>
              <w:br/>
            </w:r>
            <w:r>
              <w:rPr>
                <w:b/>
                <w:i w:val="0"/>
                <w:sz w:val="18"/>
              </w:rPr>
              <w:t>78 223 44 29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2026-06-28T11:40:01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Ndiaye diffère de celui donné par Aissata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Pathe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Aissata Ndiaye n'a pas cherché du travail au cours des 30 derniers jours est hypertension arterielle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Aissata Ndiaye n'a pas demandé de crédit auprès d'une institution financière au cours des 12 derniers mois est n’avait plus de temps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Aissata Ndiaye a fait de ce dernier crédit est depenses quotidienne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Ndiaye (11650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Aissata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Aissata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Aissata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 de l'article  Bonbonne de gaz est inférieur aux prix de revente (10000)  avec l'âge du bien atteignant 29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(40000)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