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10-23-92-12</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10-23-92-12</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78 507 47 24</w:t>
            </w:r>
          </w:p>
        </w:tc>
        <w:tc>
          <w:tcPr>
            <w:tcW w:type="dxa" w:w="3551"/>
            <w:shd w:fill="F8FAFC"/>
          </w:tcPr>
          <w:p>
            <w:r>
              <w:rPr>
                <w:b w:val="0"/>
                <w:i w:val="0"/>
                <w:color w:val="64748B"/>
                <w:sz w:val="14"/>
              </w:rPr>
              <w:t>LOCALISATION</w:t>
              <w:br/>
            </w:r>
            <w:r>
              <w:rPr>
                <w:b/>
                <w:i w:val="0"/>
                <w:sz w:val="18"/>
              </w:rPr>
              <w:t>DIANE KOUNDA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2026-06-21T09:05:27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ÐIEYNABA DIALLO diffère de celui donné par ÐIEYNABA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ÐIEYNABA DIALLO s'est consulté la première fois pour cette maladie (Autre) chez un dentiste et vous dites que  ÐIEYNABA DIALLO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1.383125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MAMADOU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(130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ALPHA OMAR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ÐIEYNABA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ÐIEYNABA DIALLO a eu est douleur au niveau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ÐIEYNABA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4839.98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4068.91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21185.42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(10500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OMAR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AISSATOU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ÐIEYNABA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DIALLO a comme taille 4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des aliments pour nourrir Equins (Chevaux)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