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96-56-67-09</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96-56-67-09</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77 460 21 37</w:t>
            </w:r>
          </w:p>
        </w:tc>
        <w:tc>
          <w:tcPr>
            <w:tcW w:type="dxa" w:w="3551"/>
            <w:shd w:fill="F8FAFC"/>
          </w:tcPr>
          <w:p>
            <w:r>
              <w:rPr>
                <w:b w:val="0"/>
                <w:i w:val="0"/>
                <w:color w:val="64748B"/>
                <w:sz w:val="14"/>
              </w:rPr>
              <w:t>LOCALISATION</w:t>
              <w:br/>
            </w:r>
            <w:r>
              <w:rPr>
                <w:b/>
                <w:i w:val="0"/>
                <w:sz w:val="18"/>
              </w:rPr>
              <w:t>au fond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2026-07-04T12:13:43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SALAMATA NIANG a vécu dans la localité est superieur à son âge (46)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SALAMATA NIANG diffère de celui donné par SALAMATA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BA diffère de celui donné par SOULEYMANE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revêtement du sol du logement le/la Ciment/Béton, mais celui du ménage de SOULEYMANE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GALÉ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SALAMATA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DIENABA BA,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SALAMATA NIANG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SOULEYMANE BA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SALAMATA NIANG (2050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 (2650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 (56000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 (6000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5892.26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12762.2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1019.54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2008.38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12599.95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12511.12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135000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