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61-19-20-10</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61-19-20-10</w:t>
            </w:r>
          </w:p>
        </w:tc>
        <w:tc>
          <w:tcPr>
            <w:tcW w:type="dxa" w:w="3551"/>
            <w:shd w:fill="F8FAFC"/>
          </w:tcPr>
          <w:p>
            <w:r>
              <w:rPr>
                <w:b w:val="0"/>
                <w:i w:val="0"/>
                <w:color w:val="64748B"/>
                <w:sz w:val="14"/>
              </w:rPr>
              <w:t>CHEF DE MÉNAGE</w:t>
              <w:br/>
            </w:r>
            <w:r>
              <w:rPr>
                <w:b/>
                <w:i w:val="0"/>
                <w:sz w:val="18"/>
              </w:rPr>
              <w:t>MOR TALLA SARR</w:t>
            </w:r>
          </w:p>
        </w:tc>
      </w:tr>
      <w:tr>
        <w:tc>
          <w:tcPr>
            <w:tcW w:type="dxa" w:w="3551"/>
            <w:shd w:fill="F8FAFC"/>
          </w:tcPr>
          <w:p>
            <w:r>
              <w:rPr>
                <w:b w:val="0"/>
                <w:i w:val="0"/>
                <w:color w:val="64748B"/>
                <w:sz w:val="14"/>
              </w:rPr>
              <w:t>TÉLÉPHONE CM</w:t>
              <w:br/>
            </w:r>
            <w:r>
              <w:rPr>
                <w:b/>
                <w:i w:val="0"/>
                <w:sz w:val="18"/>
              </w:rPr>
              <w:t>77 457 04 88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2026-06-28T09:54:35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FAUTOU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SAMB diffère de celui donné par ROKHY SAMB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ROKHY SAMB est Handicap de la 4.21 mais ROKHY SAMB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DJIBY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ROKHY SAMB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SAKO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SAKO SARR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FAUTOU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FAUTOU SARR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SARR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SARR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KHOUDIA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MOR TALLA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 TALLA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MOR TALLA SARR est de 1500000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(162500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MOR TALLA SARR ayant travaillé dans la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TALLA SARR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(14000 Kilogramme) de Engrais inorganiques - NPK/Formule unique est supérieur à la quantité totale utilisée (1400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12.53571 FCFA par Kilogramme qui semble faible, prière de vérifier  le montant d'achat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12.53571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1197000 FCFA qui semble élevé, 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1197000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320000 FCFA qui semble élevé, 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KHOUDIA DIOUF travaille dans le commerce, Esthéticiens, coiffeurs, cuisinier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MOR TALLA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17:11:12] </w:t>
      </w:r>
      <w:r>
        <w:rPr>
          <w:b/>
          <w:i w:val="0"/>
          <w:color w:val="1F6FEB"/>
          <w:sz w:val="16"/>
        </w:rPr>
        <w:t xml:space="preserve">Thimbane_v2 </w:t>
      </w:r>
      <w:r>
        <w:rPr>
          <w:b w:val="0"/>
          <w:i w:val="0"/>
          <w:color w:val="64748B"/>
          <w:sz w:val="16"/>
        </w:rPr>
        <w:t xml:space="preserve">sur @@RejectedBySupervisor : </w:t>
      </w:r>
      <w:r>
        <w:rPr>
          <w:b w:val="0"/>
          <w:i w:val="0"/>
          <w:sz w:val="17"/>
        </w:rPr>
        <w:t>Revoir la question 1.20 concernant Khoudia Diouf. La modalité « autre localité » renvoie à une autre commune. Elle ne doit être utilisée que si la personne a effectivement vécu dans une commune différente de celle où elle réside actuellement. Compléter la question 1.47 concernant Modou Sarr. Revoir la question 2.11 concernant Fatou Sarr. L'option « études achevées » signifie que la personne a terminé son cycle d'études. Or, Fatou a déclaré ne savoir ni lire, ni écrire, ni comprendre le français. Veuillez vérifier cette information. Revoir les questions 3.16 à 3.19 concernant Mor Talla Sarr, Khoudia et Rokhy. Revoir la question 3.13 concernant Khoudia Diouf. Revoir les questions 3.13, 3.14, 3.15, 3.16, 3.18, 3.19, 3.20 et 3.21 concernant Malle Sarr. Revoir les réponses à la question 9A.07 pour toutes les fêtes. Revoir les questions 10.45c, 10.45m et 10.45o. Revoir la question 10.46. Cette question ne porte pas sur le bénéfice. Veuillez vérifier la réponse renseignée. Revoir les questions 10.48, 10.49, 10.50, 10.51, 10.52, 10.55, 10.56 et 10.57. Veuillez renseigner les noms des cultures à la question concernée. Il existe un écart entre la quantité de mil récoltée et la quantité utilisée dans la partie relative à l'utilisation de la production. Veuillez corriger cette incohérence.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