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KA) , prière de renseigner toutes les questions liées à  FATOU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MOR NDIAMA KA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CHEIKH TIDIANE 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NDAO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(17000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(880000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(1600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KA est Etudiant/Elève de la 4.21 mais ASTOU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(3.87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13:19:41] </w:t>
      </w:r>
      <w:r>
        <w:rPr>
          <w:b/>
          <w:i w:val="0"/>
          <w:color w:val="1F6FEB"/>
          <w:sz w:val="16"/>
        </w:rPr>
        <w:t xml:space="preserve">Thimbane_v2 </w:t>
      </w:r>
      <w:r>
        <w:rPr>
          <w:b w:val="0"/>
          <w:i w:val="0"/>
          <w:color w:val="64748B"/>
          <w:sz w:val="16"/>
        </w:rPr>
        <w:t xml:space="preserve">sur @@RejectedBySupervisor : </w:t>
      </w:r>
      <w:r>
        <w:rPr>
          <w:b w:val="0"/>
          <w:i w:val="0"/>
          <w:sz w:val="17"/>
        </w:rPr>
        <w:t>" Merci de renseigner le jour et le mois de naissance des membres du ménage. Compléter la question 1.47 de Fatou Ka. Astou Ka sait lire, écrire et comprendre une autre langue, mais elle n'a suivi aucune formation ni étude non formelle. Revoir le montant de la question 2.21 pour Aïssatou Coumba Ka et Mor Diama Ka. Revoir les questions 3.15, 3.16, 3.17, 3.19 et 3.21 de Fatou Ka. Revoir les questions 3.15, 3.16, 3.17, 3.18 et 3.19 de Nafy Ka. Revoir les questions 3.13, 3.17 et 3.21 de Cheikh Tidiane Ka. Revoir la question 3.21 d'Adama Ka. Revoir la question 3.13 de Khady Ndiaye et celle d'Aïssatou Coumba Ka : où sont renseignés les frais de consultation et les dépenses en médicaments ? Comment ce ménage subvient-il à ses besoins alors qu'aucun de ses membres ne travaille ? Revoir la section 18C : le ménage a déclaré avoir utilisé du bois de chauffe ramassé, qui doit être pris en compte dans la section Cueillette.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