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49-91-71-75</w:t>
      </w:r>
    </w:p>
    <w:p>
      <w:r>
        <w:rPr>
          <w:b w:val="0"/>
          <w:i w:val="0"/>
          <w:color w:val="64748B"/>
          <w:sz w:val="18"/>
        </w:rPr>
        <w:t>Enquêteur : EQ23_enq1_v2 (SODA FALL)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49-91-71-75</w:t>
            </w:r>
          </w:p>
        </w:tc>
        <w:tc>
          <w:tcPr>
            <w:tcW w:type="dxa" w:w="3551"/>
            <w:shd w:fill="F8FAFC"/>
          </w:tcPr>
          <w:p>
            <w:r>
              <w:rPr>
                <w:b w:val="0"/>
                <w:i w:val="0"/>
                <w:color w:val="64748B"/>
                <w:sz w:val="14"/>
              </w:rPr>
              <w:t>CHEF DE MÉNAGE</w:t>
              <w:br/>
            </w:r>
            <w:r>
              <w:rPr>
                <w:b/>
                <w:i w:val="0"/>
                <w:sz w:val="18"/>
              </w:rPr>
              <w:t>SIDY WILLANE</w:t>
            </w:r>
          </w:p>
        </w:tc>
      </w:tr>
      <w:tr>
        <w:tc>
          <w:tcPr>
            <w:tcW w:type="dxa" w:w="3551"/>
            <w:shd w:fill="F8FAFC"/>
          </w:tcPr>
          <w:p>
            <w:r>
              <w:rPr>
                <w:b w:val="0"/>
                <w:i w:val="0"/>
                <w:color w:val="64748B"/>
                <w:sz w:val="14"/>
              </w:rPr>
              <w:t>TÉLÉPHONE CM</w:t>
              <w:br/>
            </w:r>
            <w:r>
              <w:rPr>
                <w:b/>
                <w:i w:val="0"/>
                <w:sz w:val="18"/>
              </w:rPr>
              <w:t>77 954 23 45</w:t>
            </w:r>
          </w:p>
        </w:tc>
        <w:tc>
          <w:tcPr>
            <w:tcW w:type="dxa" w:w="3551"/>
            <w:shd w:fill="F8FAFC"/>
          </w:tcPr>
          <w:p>
            <w:r>
              <w:rPr>
                <w:b w:val="0"/>
                <w:i w:val="0"/>
                <w:color w:val="64748B"/>
                <w:sz w:val="14"/>
              </w:rPr>
              <w:t>LOCALISATION</w:t>
              <w:br/>
            </w:r>
            <w:r>
              <w:rPr>
                <w:b/>
                <w:i w:val="0"/>
                <w:sz w:val="18"/>
              </w:rPr>
              <w:t>DIAMEGUENE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2026-07-05T10:43:03</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DIOP diffère de celui donné par ASTOU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NDAO diffère de celui donné par COUMBA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HADJI AMATH WILLANE diffère de celui donné par EL HADJI AMATH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EL HADJI AMATH WILLANE est un(e) Spécialistes de l'enseignement, non classés ailleurs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PENDA NDAO diffère de celui donné par MAME PENDA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SIDY WILLANE diffère de celui donné par SIDY WILLANE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AMATH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HADJI AMATH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PENDA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SIDY WILLANE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Patate douce en Morceau (Portion)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Macaroni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SIDY WILLANE (13000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SIDY WILLANE (398500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(1879600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SIDY WILLANE (1879600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WILLANE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WILLANE (2500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WILLANE (100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WILLANE (150000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CONSTRUCTION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CONSTRUCTION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MÉCANICIEN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MÉCANICIEN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SIDY WILLANE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EL HADJI AMATH WILLANE est un Spécialistes de l'enseignement,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[2026-07-18 18:04:21] </w:t>
      </w:r>
      <w:r>
        <w:rPr>
          <w:b/>
          <w:i w:val="0"/>
          <w:color w:val="1F6FEB"/>
          <w:sz w:val="16"/>
        </w:rPr>
        <w:t xml:space="preserve">Thimbane_v2 </w:t>
      </w:r>
      <w:r>
        <w:rPr>
          <w:b w:val="0"/>
          <w:i w:val="0"/>
          <w:color w:val="64748B"/>
          <w:sz w:val="16"/>
        </w:rPr>
        <w:t xml:space="preserve">sur @@RejectedBySupervisor : </w:t>
      </w:r>
      <w:r>
        <w:rPr>
          <w:b w:val="0"/>
          <w:i w:val="0"/>
          <w:sz w:val="17"/>
        </w:rPr>
        <w:t>"Revoir les questions 3.15, 3.17, 3.18 et 3.19 de Sidy Willane. Vous avez renseigné 0. Merci de confirmer ou de corriger ces réponses. Revoir les questions 3.17, 3.18, 3.19 et 3.20 de El Hadji Amathe Willane. Revoir les questions 3.13 à 3.20 de Astou Diop. Elle s'est consultée chez un médecin généraliste. Merci de vérifier la cohérence des réponses.  Vous n'avez pas déclaré l'emploi non agricole de Penda. En effet, à la question 4.46, vous avez indiqué qu'elle travaille pour son propre compte, tandis qu'à la question 4.11, vous indiquez qu'elle travaille pour une autre personne. Merci de corriger cette incohérence. Revoir la question 7B.03a concernant le pain moderne. Revoir les questions 10.46 à 10.51 concernant l'activité de maçonnerie. Il s'agit d'une activité de services. Merci de vérifier les informations sur les revenus de l'entrepris  L'activité de mécanicien relève également du secteur des services. Merci de revoir les codes de branche d'activité. Revoir la question 10.45i concernant le mécanicien.  Revoir les questions 10.46 à 10.51 concernant l'activité de mécanicien, puisqu'il s'agit d'une activité de services.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