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26-52-38-17</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26-52-38-17</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77 949 28 37</w:t>
            </w:r>
          </w:p>
        </w:tc>
        <w:tc>
          <w:tcPr>
            <w:tcW w:type="dxa" w:w="3551"/>
            <w:shd w:fill="F8FAFC"/>
          </w:tcPr>
          <w:p>
            <w:r>
              <w:rPr>
                <w:b w:val="0"/>
                <w:i w:val="0"/>
                <w:color w:val="64748B"/>
                <w:sz w:val="14"/>
              </w:rPr>
              <w:t>LOCALISATION</w:t>
              <w:br/>
            </w:r>
            <w:r>
              <w:rPr>
                <w:b/>
                <w:i w:val="0"/>
                <w:sz w:val="18"/>
              </w:rPr>
              <w:t>toute la concessiin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2026-07-07T10:57:27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IDRISSA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TRAORE diffère de celui donné par DIENABA TRAORE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Urbain ont généralement comme principal matériau de construction le/la Pierres simples (Traditionnelles), mais celui du ménage de ALIOU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NENEDDIO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NENEDDIO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NENEDDIO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DIALLO a comme taille 5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