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(24000)  avec l'âge du bien atteignant 4 ans.</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