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63-33-92-47</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63-33-92-47</w:t>
            </w:r>
          </w:p>
        </w:tc>
        <w:tc>
          <w:tcPr>
            <w:tcW w:type="dxa" w:w="3551"/>
            <w:shd w:fill="F8FAFC"/>
          </w:tcPr>
          <w:p>
            <w:r>
              <w:rPr>
                <w:b w:val="0"/>
                <w:i w:val="0"/>
                <w:color w:val="64748B"/>
                <w:sz w:val="14"/>
              </w:rPr>
              <w:t>CHEF DE MÉNAGE</w:t>
              <w:br/>
            </w:r>
            <w:r>
              <w:rPr>
                <w:b/>
                <w:i w:val="0"/>
                <w:sz w:val="18"/>
              </w:rPr>
              <w:t>BOURAMA CAMARA</w:t>
            </w:r>
          </w:p>
        </w:tc>
      </w:tr>
      <w:tr>
        <w:tc>
          <w:tcPr>
            <w:tcW w:type="dxa" w:w="3551"/>
            <w:shd w:fill="F8FAFC"/>
          </w:tcPr>
          <w:p>
            <w:r>
              <w:rPr>
                <w:b w:val="0"/>
                <w:i w:val="0"/>
                <w:color w:val="64748B"/>
                <w:sz w:val="14"/>
              </w:rPr>
              <w:t>TÉLÉPHONE CM</w:t>
              <w:br/>
            </w:r>
            <w:r>
              <w:rPr>
                <w:b/>
                <w:i w:val="0"/>
                <w:sz w:val="18"/>
              </w:rPr>
              <w:t>78 289 38 06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2026-06-11T09:59:17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BOURAMA CAMARA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BOURAMA CAMARA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depasse la quantité totale (25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BOURAMA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BOURAMA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2209.21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 FCFA qui semble élevé, prière de verifier le montant tiré de la vente (24000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diffère de celle de la quantité totale (25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14000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14000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BOURAMA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12:24:30] </w:t>
      </w:r>
      <w:r>
        <w:rPr>
          <w:b/>
          <w:i w:val="0"/>
          <w:color w:val="1F6FEB"/>
          <w:sz w:val="16"/>
        </w:rPr>
        <w:t xml:space="preserve">EQ34_sup_v2 </w:t>
      </w:r>
      <w:r>
        <w:rPr>
          <w:b w:val="0"/>
          <w:i w:val="0"/>
          <w:color w:val="64748B"/>
          <w:sz w:val="16"/>
        </w:rPr>
        <w:t xml:space="preserve">sur @@RejectedBySupervisor : </w:t>
      </w:r>
      <w:r>
        <w:rPr>
          <w:b w:val="0"/>
          <w:i w:val="0"/>
          <w:sz w:val="17"/>
        </w:rPr>
        <w:t>"A 4.10 la reponse est non et a 4.46 c est travail pour compte propre ca ne colle pas il faut revoir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