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95-00-23-47</w:t>
      </w:r>
    </w:p>
    <w:p>
      <w:r>
        <w:rPr>
          <w:b w:val="0"/>
          <w:i w:val="0"/>
          <w:color w:val="64748B"/>
          <w:sz w:val="18"/>
        </w:rPr>
        <w:t>Enquêteur : EQ35_enq3_v2 (OUMOU DIOP)  ·  Équipe : EQ35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21204020031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95-00-23-47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SATOU NDIAYE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78 307 14 60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BATARA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EQ35_enq3_v2  (OUMOU DIOP)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MAIMOUNA KOURMANG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2026-06-04T12:41:44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Maison Basse à ZIGUINCHOR Urbain ont généralement comme principal matériau du toit le/la Tôles, mais celui du ménage de SATOU NDIAYE (Tuile)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SATOU NDIAYE (19000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FATOU CHAM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FATOU CHAM (21300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(150 Fcfa) de Carotte en Pièce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(200 Fcfa) de Pain moderne en miche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30 derniers jours de Bois de chauffe acheté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(350 Fcfa) pour Pâte dentifrice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SATOU NDIAYE (1000 Fcfa) au cours de 6 derniers mois de Accessoires des chaussures (chausse-pieds; brosses à chaussure, lacet)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s01q41, s02q20, s02q21, s02q22, s03q37__4, s03q39a, s03q39b, s03q39c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temps mis (en heure et en minute) pour s'approvisionner en eau de boisson une fois à la source est 152.5 fois plus élevé que le temps mis (en minutes) pour se rendre à la principale source d'approvisionnement en eau de boisson,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SATOU NDIAYE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SATOU NDIAYE a comme taille 2 personnes dont ils vivent à ZIGUINCHOR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s01q43, s01q44, s02q15, s02q20, s02q21, s03q07, s03q08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temps mis (en heure et en minute) pour s'approvisionner en eau de boisson une fois à la source (305 minutes) est élevé,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minimum mensuel déclaré par le ménage est aberrant (trop faible ou trop élevé pour assurer un niveau de vie décent).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13:22:26]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"elle participe seulement sur l'alimentation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[2026-06-04 14:48:35] </w:t>
      </w:r>
      <w:r>
        <w:rPr>
          <w:b/>
          <w:i w:val="0"/>
          <w:color w:val="1F6FEB"/>
          <w:sz w:val="16"/>
        </w:rPr>
        <w:t xml:space="preserve">EQ35_enq3_v2 </w:t>
      </w:r>
      <w:r>
        <w:rPr>
          <w:b w:val="0"/>
          <w:i w:val="0"/>
          <w:color w:val="64748B"/>
          <w:sz w:val="16"/>
        </w:rPr>
        <w:t xml:space="preserve">sur s07Aq08b : </w:t>
      </w:r>
      <w:r>
        <w:rPr>
          <w:b w:val="0"/>
          <w:i w:val="0"/>
          <w:sz w:val="17"/>
        </w:rPr>
        <w:t>"c’est du couscous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