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62-68-05-34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62-68-05-34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NGAGNE DIOUF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77 515 88 87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MANDIAYE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2026-06-19T11:41:50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s03q14, s03q15, s03q17, s03q18, s03q19, s03q20, s03q21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Incoherence!!! PAPE NDIOGOU NDIAYE a consulté dans un service de santé ou un guérisseur au cours des 3 derniers mois sans hospitalisation (3.13=Oui) mais la depense liée à cette consultation est nulle 0 ou ne sait pas partout dans les questions (s03q14 s03q15 s03q17 s03q18 s03q19 s03q20 s03q21).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type de logement est Maison à Etage et le principal matériau de construction est Pierres simples (Traditionnelles) qui semble incohérent.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(6),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déclarez que PAPE NDIOGOU NDIAYE dans ce ménage s'est consulté dans un service de santé, ou chez un guérisseur au cours des 3 derniers mois sans hospitalisation (ne pas considérer les consultations prénatales) q13=Oui, mais vous avez pris NSP partout de la question q14 à q21.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PAPE NDIOGOU NDIAYE (16800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7a1 ne doit pas être renseignée pour ce ménage de 1 personne, merci de reconduire ces informations au niveau de la section 7a2 qui le concerne.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(50000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PAPE NDIOGOU NDIAYE (5000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la question 11.18 auprès du ménage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construction le/la Ciment/Béton/Pierres de taille, mais celui du ménage de PAPE NDIOGOU NDIAYE (Pierres simples (Traditionnelles))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PAPE NDIOGOU NDIAYE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PAPE NDIOGOU NDIAYE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