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23-83-52-45</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23-83-52-45</w:t>
            </w:r>
          </w:p>
        </w:tc>
        <w:tc>
          <w:tcPr>
            <w:tcW w:type="dxa" w:w="3551"/>
            <w:shd w:fill="F8FAFC"/>
          </w:tcPr>
          <w:p>
            <w:r>
              <w:rPr>
                <w:b w:val="0"/>
                <w:i w:val="0"/>
                <w:color w:val="64748B"/>
                <w:sz w:val="14"/>
              </w:rPr>
              <w:t>CHEF DE MÉNAGE</w:t>
              <w:br/>
            </w:r>
            <w:r>
              <w:rPr>
                <w:b/>
                <w:i w:val="0"/>
                <w:sz w:val="18"/>
              </w:rPr>
              <w:t>MOUSTAPHA NGUET</w:t>
            </w:r>
          </w:p>
        </w:tc>
      </w:tr>
      <w:tr>
        <w:tc>
          <w:tcPr>
            <w:tcW w:type="dxa" w:w="3551"/>
            <w:shd w:fill="F8FAFC"/>
          </w:tcPr>
          <w:p>
            <w:r>
              <w:rPr>
                <w:b w:val="0"/>
                <w:i w:val="0"/>
                <w:color w:val="64748B"/>
                <w:sz w:val="14"/>
              </w:rPr>
              <w:t>TÉLÉPHONE CM</w:t>
              <w:br/>
            </w:r>
            <w:r>
              <w:rPr>
                <w:b/>
                <w:i w:val="0"/>
                <w:sz w:val="18"/>
              </w:rPr>
              <w:t>77 546 80 05</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2026-07-17T11:57:00</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MAIMOUNA BARRY) , prière de renseigner toutes les questions liées à  MAIMOUNA BARRY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MOUSTAPHA NGUET) , prière de renseigner toutes les questions liées à  MOUSTAPHA NGUET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(2)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Incohérence. %rostertitle% doit avoir le même statut matrimonial que son mari.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BARRY , prière de renseignés toutes les questions liées à MAIMOUNA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BARRY,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BARRY , prière de renseignés toutes les questions liées à ( MAIMOUNA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MOUSTAPHA NGUET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MOUSTAPHA NGUET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MOUSTAPHA NGUET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