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60-20-77-59</w:t>
      </w:r>
    </w:p>
    <w:p>
      <w:r>
        <w:rPr>
          <w:b w:val="0"/>
          <w:i w:val="0"/>
          <w:color w:val="64748B"/>
          <w:sz w:val="18"/>
        </w:rPr>
        <w:t>Enquêteur : EQ20_sup_v2  ·  Équipe : EQ20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60-20-77-59</w:t>
            </w:r>
          </w:p>
        </w:tc>
        <w:tc>
          <w:tcPr>
            <w:tcW w:type="dxa" w:w="3551"/>
            <w:shd w:fill="F8FAFC"/>
          </w:tcPr>
          <w:p>
            <w:r>
              <w:rPr>
                <w:b w:val="0"/>
                <w:i w:val="0"/>
                <w:color w:val="64748B"/>
                <w:sz w:val="14"/>
              </w:rPr>
              <w:t>CHEF DE MÉNAGE</w:t>
              <w:br/>
            </w:r>
            <w:r>
              <w:rPr>
                <w:b/>
                <w:i w:val="0"/>
                <w:sz w:val="18"/>
              </w:rPr>
              <w:t>MAMADOU NDIAYE</w:t>
            </w:r>
          </w:p>
        </w:tc>
      </w:tr>
      <w:tr>
        <w:tc>
          <w:tcPr>
            <w:tcW w:type="dxa" w:w="3551"/>
            <w:shd w:fill="F8FAFC"/>
          </w:tcPr>
          <w:p>
            <w:r>
              <w:rPr>
                <w:b w:val="0"/>
                <w:i w:val="0"/>
                <w:color w:val="64748B"/>
                <w:sz w:val="14"/>
              </w:rPr>
              <w:t>TÉLÉPHONE CM</w:t>
              <w:br/>
            </w:r>
            <w:r>
              <w:rPr>
                <w:b/>
                <w:i w:val="0"/>
                <w:sz w:val="18"/>
              </w:rPr>
              <w:t>77 303 24 61</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2026-05-21T14:13:05</w:t>
            </w:r>
          </w:p>
        </w:tc>
      </w:tr>
    </w:tbl>
    <w:p/>
    <w:p>
      <w:r>
        <w:rPr>
          <w:b/>
          <w:i w:val="0"/>
          <w:color w:val="1F6FEB"/>
          <w:sz w:val="22"/>
        </w:rPr>
        <w:t>⚠ INCOHÉRENCES À CORRIGER (129)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ABOUBACAR NDIAYE a declaré que la catégorie socioprofessionnelle de son père est Ouvrier ou employé qualifié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NDIAYE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3 personnes et la taille du ménage est de 19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AMADOU TIDIANE NDIAYE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AMADOU TIDIANE NDIAYE ou l'année à laquelle AMADOU TIDIANE NDIAYE a fréquenté l'école pour la dernière fois (.) le dernier diplome de AMADOU TIDIANE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ASTOU NDIAYE diffère de celui donné par ASTOU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MAMADOU NDIAYE diffère de celui donné par MAMADOU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OUMOU BALDE diffère de celui donné par OUMOU BALDE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OUSMANE NDIAYE ou l'année à laquelle OUSMANE NDIAYE a fréquenté l'école pour la dernière fois (2023) le dernier diplome de OUSMANE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49 miche de Moyen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ABOUBACAR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NDIAYE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ALIOU BIANQUINCHE est BASSARIES,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(19) de ce ménage est inférieur à la taille du denombrement (25),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ABLAYE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ABLAYE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ABOUBACAR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ADAMA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(9000 FCFA) pour l'année scolaire de ADAMA NDIAYE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 BIANQUINCHE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TIDIANE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AMADOU TIDIANE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cotisation (500 Fcfa) de AMADOU TIDIANE NDIAYE en 1ére année de Secondaire 1 (Moyen) Général est relativement faible par rapport aux autres frais de cotisation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AMINATA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AMINATA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AMY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ASTOU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AWA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NDIAYE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(9000 FCFA) pour l'année scolaire de AWA NDIAYE qui fréquente 1ére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BOUBACAR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BOUBACAR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FATOU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MAMADOU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MARIAMA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OUMOU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OUMOU BALDE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OUSMANE NDIAYE n'a pas été à l'école entre 2024/2025 est pour faire une formation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PAPE SAMBA NDIAYE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( 2500 FCFA) payée de PAPE SAMBA NDIAYE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PAPE SAMBA NDIAYE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SALY BARRY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SALY BARRY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OUMOU BALDE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OUMOU BALDE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MARIAMA NDIAYE (6300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 Fcfa) de Poireau/ oignon vert en Tas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NDIAYE (19600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NDIAYE (427300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MAMADOU NDIAYE (833600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(600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(2000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(2500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(15000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MAMADOU NDIAYE (1500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mecanicien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mecanicien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la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construction le/la Ciment/Béton/Pierres de taille, mais celui du ménage de MAMADOU NDIAYE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du toit le/la Tôles, mais celui du ménage de MAMADOU NDIAYE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TAMBACOUNDA Urbain ont généralement comme principal matériau de revêtement du sol du logement le/la Ciment/Béton, mais celui du ménage de MAMADOU NDIAYE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Charrettes a été revendu à 50000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MARIAMA NDIAYE a 19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MOUHAMED NDIAYE a 50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OUMOU BALDE a 36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SALY BARRY a 43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ALIOU BIANQUINCHE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AMADOU TIDIANE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BOUBACAR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OUSMANE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OUSMANE NDIAYE est Etudiant/Elève de la 4.21 mais OUSMANE NDIAYE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SAMBA NDIAYE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(94 heures) que MOUHAMED NDIAYE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Bicyclette, vélo de course est inférieur aux prix de revente (20000)  avec l'âge du bien atteignant 1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(15000) de l'article  Bonbonne de gaz est inférieur aux prix de revente (18000)  avec l'âge du bien atteignant 3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