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FATOU SOW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FATOU SOW a vécu dans la localité est superieur à son âge (97)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SOW) , prière de renseigner toutes les questions liées à  IBRAHIMA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HABIB SOW) , prière de renseigner toutes les questions liées à  HABIB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MBAYE MOR SOW) , prière de renseigner toutes les questions liées à  MBAYE MOR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1191"/>
          </w:tcPr>
          <w:p>
            <w:r>
              <w:rPr>
                <w:b w:val="0"/>
                <w:i w:val="0"/>
                <w:color w:val="64748B"/>
                <w:sz w:val="16"/>
              </w:rPr>
              <w:t>Natif SuSo</w:t>
            </w:r>
          </w:p>
        </w:tc>
        <w:tc>
          <w:tcPr>
            <w:tcW w:type="dxa" w:w="4706"/>
          </w:tcPr>
          <w:p>
            <w:r>
              <w:rPr>
                <w:b w:val="0"/>
                <w:i w:val="0"/>
                <w:sz w:val="17"/>
              </w:rPr>
              <w:t>Incohérence. Il y a au moins un(e) conjoint(e) de CM dans le ménage. Alors %rostertitle% qui est chef de ménage a au moins un (e) conjoint (e) qui vit dans le ménage.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BOUSSO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1191"/>
          </w:tcPr>
          <w:p>
            <w:r>
              <w:rPr>
                <w:b w:val="0"/>
                <w:i w:val="0"/>
                <w:color w:val="64748B"/>
                <w:sz w:val="16"/>
              </w:rPr>
              <w:t>GT-CQ</w:t>
            </w:r>
          </w:p>
        </w:tc>
        <w:tc>
          <w:tcPr>
            <w:tcW w:type="dxa" w:w="4706"/>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que MAME BOUSSO MBAYE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KHOUDIA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NOGAYE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NOGAYE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NOGAYE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NOGAYE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SOW ), prière de renseignés toutes les questions liées à ( FATOU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BOUSSO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BOUSSO MBAYE ), prière de renseignés toutes les questions liées à ( MAME BOUSSO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NOGAYE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SOW ), prière de renseignés toutes les questions liées à ( NOGAYE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FATOU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FATOU SOW ), prière de renseignés toutes les questions liées à ( SOKHNA FATOU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(216.6667 Fcfa) de Sucre en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(216.6667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KHOUDIA NDIAYE (400000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KHOUDIA NDIAYE (502500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KHOUDIA NDIAYE (3400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commercante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(22), prière de corriger ou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Autres Parents du CM/Conjoint (n°3) — Dépense de santé de 401 570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KHOUDIA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