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56-86-71-74</w:t>
      </w:r>
    </w:p>
    <w:p>
      <w:r>
        <w:rPr>
          <w:b w:val="0"/>
          <w:i w:val="0"/>
          <w:color w:val="64748B"/>
          <w:sz w:val="18"/>
        </w:rPr>
        <w:t>Enquêteur : EQ11_enq2_v2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56-86-71-74</w:t>
            </w:r>
          </w:p>
        </w:tc>
        <w:tc>
          <w:tcPr>
            <w:tcW w:type="dxa" w:w="3551"/>
            <w:shd w:fill="F8FAFC"/>
          </w:tcPr>
          <w:p>
            <w:r>
              <w:rPr>
                <w:b w:val="0"/>
                <w:i w:val="0"/>
                <w:color w:val="64748B"/>
                <w:sz w:val="14"/>
              </w:rPr>
              <w:t>CHEF DE MÉNAGE</w:t>
              <w:br/>
            </w:r>
            <w:r>
              <w:rPr>
                <w:b/>
                <w:i w:val="0"/>
                <w:sz w:val="18"/>
              </w:rPr>
              <w:t>SIDI SOW</w:t>
            </w:r>
          </w:p>
        </w:tc>
      </w:tr>
      <w:tr>
        <w:tc>
          <w:tcPr>
            <w:tcW w:type="dxa" w:w="3551"/>
            <w:shd w:fill="F8FAFC"/>
          </w:tcPr>
          <w:p>
            <w:r>
              <w:rPr>
                <w:b w:val="0"/>
                <w:i w:val="0"/>
                <w:color w:val="64748B"/>
                <w:sz w:val="14"/>
              </w:rPr>
              <w:t>TÉLÉPHONE CM</w:t>
              <w:br/>
            </w:r>
            <w:r>
              <w:rPr>
                <w:b/>
                <w:i w:val="0"/>
                <w:sz w:val="18"/>
              </w:rPr>
              <w:t>77 193 05 77</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2026-06-04T12:22:43</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(11) ans du premier mariage de DIOUMA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(11) ans du premier mariage de DYBOREOU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SIDI SOW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DYBOREOU BA diffère de celui donné par DYBOREOU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SOIDO SOW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.6904762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DYBOREOU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DIOUMA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DIOUMA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DYBOREOU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KOR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KOR SOW ), prière de renseignés toutes les questions liées à ( KOR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unitaire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Fcfa) de Sucre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SIDI SOW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SIDI SOW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SIDI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SIDI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SIDI SOW a comme taille 6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Armoires et autres meubles est inférieur aux prix de revente (125000)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Lit est inférieur aux prix de revente (150000)  avec l'âge du bien atteignant 6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SIDI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 FCFA) de Herse est inférieur aux prix de revente (2500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 FCFA) de Machette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