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FARBA FALL a declaré que la catégorie socioprofessionnelle de sa mère est Travailleur pour compte propre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FALL1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ELKHADJI TINE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FARBA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NDIOGOU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DIARRA NGING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BARA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DIAGNE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DABA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DIOUMA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FALL MBENE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FALLOU SARR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NDIOGOU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NGONE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SERIGNE MBACKE FALL.</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FALLOU SARR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FALLOU SARR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FARBA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FALL1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ELKHADJI TINE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FARBA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FALLOU FALL qui fréquente 2ème année de Maternelle  est de 0 FCFA, FALLOU FALL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DIARRA NGING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montant(35000 FCFA) des dépenses pour chaque visite prénatale de MBENE GUEYE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DABA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ELKHADJI TINE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FARBA FALL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FARBA FALL (10000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FARBA FALL (187500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(24000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FARBA FALL (9000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arachidz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214500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(214500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20000 FCFA qui semble élevé, prière de verifier le montant tiré de la vente (40000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7500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FALLOU FALL MBENE fréquente 3ème année de Primaire mais ne sait pas écrire, prière de vérifier auprès de FALLOU FALL MBENE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NGONE FALL fréquente 3ème année de Primaire mais ne sait pas écrire, prière de vérifier auprès de NGONE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DIOUF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DIOUMA POUYE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MAME DIARRA NGING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MBENE GUEYE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DABA DIAGNE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(15000)  avec l'âge du bien atteignant 7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(42000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