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EQ4_sup_v2  ·  Équipe : EQ4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EQ4_sup_v2  (43)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MASSAMBA DIOUF a declaré que la catégorie socioprofessionnelle de sa mère est  alors que la mère elle-même declare comme catégorie socioprofessionnelle Aide ménagère (Domestique)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MASSAMBA DIOUF a declaré que le secteur institutionnel de sa mère est  alors que la mère elle-même declare comme secteur institutionnel Ménage comme employeur de personnel domestique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frais de scolarité (105000 Fcfa) de MASSAMBA DIOUF en 4ème année de Secondaire 1 (Moyen) Général est relativement élevé par rapport aux autres frais de scolarités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