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4748B"/>
          <w:sz w:val="22"/>
        </w:rPr>
        <w:t>ANSD · EHCVM3 — Sénégal</w:t>
      </w:r>
    </w:p>
    <w:p>
      <w:pPr>
        <w:pStyle w:val="Title"/>
      </w:pPr>
      <w:r>
        <w:rPr>
          <w:color w:val="1F6FEB"/>
        </w:rPr>
        <w:t>Rapport de Suivi du VOLET MÉNAGE</w:t>
      </w:r>
    </w:p>
    <w:p>
      <w:pPr>
        <w:jc w:val="center"/>
      </w:pPr>
      <w:r>
        <w:rPr>
          <w:i/>
          <w:sz w:val="20"/>
        </w:rPr>
        <w:t>Situation au 6 juin 2026</w:t>
      </w:r>
    </w:p>
    <w:p/>
    <w:p>
      <w:r>
        <w:t>À la date du 6 juin 2026  la collecte cumule 676 ménages sur 99 DR couverts par 35 équipes (134 enquêteurs). Au total  62 580 incohérences ont été détectées sur 676 ménages (100.0 %).</w:t>
      </w:r>
    </w:p>
    <w:p>
      <w:pPr>
        <w:pStyle w:val="Heading1"/>
      </w:pPr>
      <w:r>
        <w:rPr>
          <w:color w:val="1F6FEB"/>
        </w:rPr>
        <w:t>1. Indicateurs de qualité de la collecte</w:t>
      </w:r>
    </w:p>
    <w:p>
      <w:r>
        <w:rPr>
          <w:b/>
          <w:color w:val="1E293B"/>
          <w:sz w:val="20"/>
        </w:rPr>
        <w:t>Tableau 1 : Nombre de DR entamés par équipe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DR attendus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DR entamés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Progression (%)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44,4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44,4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22,2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22,2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22,2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22,2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22,2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2026-06-06</w:t>
      </w:r>
    </w:p>
    <w:p>
      <w:r>
        <w:rPr>
          <w:b/>
          <w:color w:val="1E293B"/>
          <w:sz w:val="20"/>
        </w:rPr>
        <w:t>Tableau 2 : Nombre de ménages clôturés par équipe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Ménages clôturés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Ménages attendus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Progression (%)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22,2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20,4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20,4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20,4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20,4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19,4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19,4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18,5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18,5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18,5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17,6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17,6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17,6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17,6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17,6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16,7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16,7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16,7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15,7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15,7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14,8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14,8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13,9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13,0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13,0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13,0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12,0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12,0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12,0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12,0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10,2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9,3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2026-06-06</w:t>
      </w:r>
    </w:p>
    <w:p>
      <w:r>
        <w:rPr>
          <w:b/>
          <w:color w:val="1E293B"/>
          <w:sz w:val="20"/>
        </w:rPr>
        <w:t>Tableau 3 : Situation de la collecte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8"/>
              </w:rPr>
              <w:t>Nb ménages</w:t>
            </w:r>
          </w:p>
        </w:tc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8"/>
              </w:rPr>
              <w:t>Pourcentage (%)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Ménage valide / renseigné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628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92,9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Ménage non valide / à compléter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7,1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2026-06-06</w:t>
      </w:r>
    </w:p>
    <w:p>
      <w:pPr>
        <w:pStyle w:val="Heading1"/>
      </w:pPr>
      <w:r>
        <w:rPr>
          <w:color w:val="1F6FEB"/>
        </w:rPr>
        <w:t>2. Indicateurs de qualité des données</w:t>
      </w:r>
    </w:p>
    <w:p>
      <w:r>
        <w:rPr>
          <w:b/>
          <w:color w:val="1E293B"/>
          <w:sz w:val="20"/>
        </w:rPr>
        <w:t>Tableau 4 : Proportion de visiteurs par équipe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Membres total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Dont visiteurs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Proportion (%)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16,2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15,9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10,1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9,7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9,6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8,8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8,6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7,7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6,6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6,5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5,9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5,6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5,4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4,7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4,7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4,6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4,5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4,4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3,9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3,2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3,1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2,7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2,6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2,5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0,8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0,7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0,0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0,0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2026-06-06</w:t>
      </w:r>
    </w:p>
    <w:p>
      <w:r>
        <w:rPr>
          <w:b/>
          <w:color w:val="1E293B"/>
          <w:sz w:val="20"/>
        </w:rPr>
        <w:t>Tableau 5 : Proportion de visiteurs par région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Membres total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Dont visiteurs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Proportion (%)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9,8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7,6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7,6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6,7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6,6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6,4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5,6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4,9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4,6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4,4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3,5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2,4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1,9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2026-06-06</w:t>
      </w:r>
    </w:p>
    <w:p>
      <w:r>
        <w:rPr>
          <w:b/>
          <w:color w:val="1E293B"/>
          <w:sz w:val="20"/>
        </w:rPr>
        <w:t>Tableau 6 : Taille moyenne des ménages par région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FEB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4320"/>
            <w:shd w:fill="1F6FEB"/>
          </w:tcPr>
          <w:p>
            <w:r>
              <w:rPr>
                <w:b/>
                <w:color w:val="FFFFFF"/>
                <w:sz w:val="18"/>
              </w:rPr>
              <w:t>Taille moyenne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12,1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10,9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10,3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10,3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10,2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10,2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10,1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8,8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8,5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8,0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7,7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7,4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7,4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5,9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2026-06-06</w:t>
      </w:r>
    </w:p>
    <w:p>
      <w:r>
        <w:rPr>
          <w:b/>
          <w:color w:val="1E293B"/>
          <w:sz w:val="20"/>
        </w:rPr>
        <w:t>Tableau 7 : Proportion d'hommes et de femmes par région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8"/>
              </w:rPr>
              <w:t>Hommes (%)</w:t>
            </w:r>
          </w:p>
        </w:tc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8"/>
              </w:rPr>
              <w:t>Femmes (%)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45,8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54,2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46,9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53,1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44,9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55,1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47,4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52,6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44,4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55,6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47,5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52,5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47,4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52,6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46,7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53,3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46,1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53,9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47,7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52,3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50,0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46,4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53,6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47,6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52,4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47,0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53,0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2026-06-06</w:t>
      </w:r>
    </w:p>
    <w:p>
      <w:r>
        <w:rPr>
          <w:b/>
          <w:color w:val="1E293B"/>
          <w:sz w:val="20"/>
        </w:rPr>
        <w:t>Tableau 8 : Sexe du chef de ménage par région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8"/>
              </w:rPr>
              <w:t>CM hommes (%)</w:t>
            </w:r>
          </w:p>
        </w:tc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8"/>
              </w:rPr>
              <w:t>CM femmes (%)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68,5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31,5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76,8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23,2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60,0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85,7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14,3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85,0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78,3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21,7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76,9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23,1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69,4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30,6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76,0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74,2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25,8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84,0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70,8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29,2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82,4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17,6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74,0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26,0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2026-06-06</w:t>
      </w:r>
    </w:p>
    <w:p>
      <w:r>
        <w:rPr>
          <w:b/>
          <w:color w:val="1E293B"/>
          <w:sz w:val="20"/>
        </w:rPr>
        <w:t>Tableau 9 : Répartition de la population par tranche d'âge et sexe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8"/>
              </w:rPr>
              <w:t>Tranche d'âge</w:t>
            </w:r>
          </w:p>
        </w:tc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8"/>
              </w:rPr>
              <w:t>Hommes</w:t>
            </w:r>
          </w:p>
        </w:tc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8"/>
              </w:rPr>
              <w:t>Femmes</w:t>
            </w:r>
          </w:p>
        </w:tc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8"/>
              </w:rPr>
              <w:t>% Population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0-4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349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363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13,0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5-14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698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1 440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26,3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15-24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1 142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20,8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25-34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379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12,9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35-44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10,0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45-54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394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7,2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55-64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4,9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65+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4,9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2026-06-06</w:t>
      </w:r>
    </w:p>
    <w:p>
      <w:r>
        <w:rPr>
          <w:b/>
          <w:color w:val="1E293B"/>
          <w:sz w:val="20"/>
        </w:rPr>
        <w:t>Tableau 10 : Proportion de ménages agricoles par région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Ménages total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Dont agricoles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Proportion (%)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70,8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56,0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54,7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54,1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53,8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52,0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44,4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37,5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34,8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32,2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31,4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25,5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3,9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2026-06-06</w:t>
      </w:r>
    </w:p>
    <w:p>
      <w:pPr>
        <w:pStyle w:val="Heading1"/>
      </w:pPr>
      <w:r>
        <w:rPr>
          <w:color w:val="1F6FEB"/>
        </w:rPr>
        <w:t>3. Apurement — incohérences détectées</w:t>
      </w:r>
    </w:p>
    <w:p>
      <w:r>
        <w:t xml:space="preserve">Synthèse des incohérences (GT-CQ + complément). Sévérité : </w:t>
      </w:r>
      <w:r>
        <w:rPr>
          <w:b/>
        </w:rPr>
        <w:t>Haute</w:t>
      </w:r>
      <w:r>
        <w:t xml:space="preserve"> = à corriger en priorité ; </w:t>
      </w:r>
      <w:r>
        <w:rPr>
          <w:b/>
        </w:rPr>
        <w:t>Moyenne</w:t>
      </w:r>
      <w:r>
        <w:t xml:space="preserve"> / </w:t>
      </w:r>
      <w:r>
        <w:rPr>
          <w:b/>
        </w:rPr>
        <w:t>Faible</w:t>
      </w:r>
      <w:r>
        <w:t xml:space="preserve"> = à vérifier / information.</w:t>
      </w:r>
    </w:p>
    <w:p>
      <w:r>
        <w:rPr>
          <w:b/>
          <w:color w:val="1E293B"/>
          <w:sz w:val="20"/>
        </w:rPr>
        <w:t>Tableau 11 : Synthèse des rejets par équipe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1F6FEB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1080"/>
            <w:shd w:fill="1F6FEB"/>
          </w:tcPr>
          <w:p>
            <w:r>
              <w:rPr>
                <w:b/>
                <w:color w:val="FFFFFF"/>
                <w:sz w:val="18"/>
              </w:rPr>
              <w:t>Ménages collectés</w:t>
            </w:r>
          </w:p>
        </w:tc>
        <w:tc>
          <w:tcPr>
            <w:tcW w:type="dxa" w:w="1080"/>
            <w:shd w:fill="1F6FEB"/>
          </w:tcPr>
          <w:p>
            <w:r>
              <w:rPr>
                <w:b/>
                <w:color w:val="FFFFFF"/>
                <w:sz w:val="18"/>
              </w:rPr>
              <w:t>Ménages avec rejet</w:t>
            </w:r>
          </w:p>
        </w:tc>
        <w:tc>
          <w:tcPr>
            <w:tcW w:type="dxa" w:w="1080"/>
            <w:shd w:fill="1F6FEB"/>
          </w:tcPr>
          <w:p>
            <w:r>
              <w:rPr>
                <w:b/>
                <w:color w:val="FFFFFF"/>
                <w:sz w:val="18"/>
              </w:rPr>
              <w:t>Haute</w:t>
            </w:r>
          </w:p>
        </w:tc>
        <w:tc>
          <w:tcPr>
            <w:tcW w:type="dxa" w:w="1080"/>
            <w:shd w:fill="1F6FEB"/>
          </w:tcPr>
          <w:p>
            <w:r>
              <w:rPr>
                <w:b/>
                <w:color w:val="FFFFFF"/>
                <w:sz w:val="18"/>
              </w:rPr>
              <w:t>Moyenne</w:t>
            </w:r>
          </w:p>
        </w:tc>
        <w:tc>
          <w:tcPr>
            <w:tcW w:type="dxa" w:w="1080"/>
            <w:shd w:fill="1F6FEB"/>
          </w:tcPr>
          <w:p>
            <w:r>
              <w:rPr>
                <w:b/>
                <w:color w:val="FFFFFF"/>
                <w:sz w:val="18"/>
              </w:rPr>
              <w:t>Faible</w:t>
            </w:r>
          </w:p>
        </w:tc>
        <w:tc>
          <w:tcPr>
            <w:tcW w:type="dxa" w:w="1080"/>
            <w:shd w:fill="1F6FEB"/>
          </w:tcPr>
          <w:p>
            <w:r>
              <w:rPr>
                <w:b/>
                <w:color w:val="FFFFFF"/>
                <w:sz w:val="18"/>
              </w:rPr>
              <w:t>Total rejets</w:t>
            </w:r>
          </w:p>
        </w:tc>
        <w:tc>
          <w:tcPr>
            <w:tcW w:type="dxa" w:w="1080"/>
            <w:shd w:fill="1F6FEB"/>
          </w:tcPr>
          <w:p>
            <w:r>
              <w:rPr>
                <w:b/>
                <w:color w:val="FFFFFF"/>
                <w:sz w:val="18"/>
              </w:rPr>
              <w:t>Rejets/ménage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EQ29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381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2 435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3 152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143,3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EQ26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334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1 971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358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2 663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111,0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EQ3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446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1 970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175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2 591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103,6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EQ1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399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1 970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2 525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97,1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EQ2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1 890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2 382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99,2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EQ23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197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1 899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239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2 335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101,5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EQ27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1 532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232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2 324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105,6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EQ7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222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1 926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175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2 323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116,2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EQ14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590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1 423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2 257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94,0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EQ13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258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1 742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2 216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130,3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EQ6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199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1 823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188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2 210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96,1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EQ10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1 718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2 080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109,5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EQ25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383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1 392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234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2 009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100,5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EQ20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288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1 455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1 947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97,3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EQ35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1 446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1 931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80,5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EQ5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177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1 529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192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1 898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82,5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EQ34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1 538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199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1 898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105,4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EQ8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346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1 313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1 868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81,2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EQ11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193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1 327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1 726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86,3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EQ19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254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1 244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1 633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108,9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EQ32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263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1 150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175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1 588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93,4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EQ28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181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1 178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1 562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78,1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EQ24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419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724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318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1 461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58,4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EQ22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239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976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227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1 442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103,0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EQ4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190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1 024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1 417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61,6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EQ33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213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1 056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1 399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77,7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EQ31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191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994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1 347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103,6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EQ12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171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1 005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1 338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95,6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EQ16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178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1 294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92,4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EQ21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175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1 126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80,4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EQ17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795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1 095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64,4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EQ30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777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1 005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71,8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EQ15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707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935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71,9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EQ9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569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57,5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EQ18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562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798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57,0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2026-06-06</w:t>
      </w:r>
    </w:p>
    <w:p>
      <w:r>
        <w:rPr>
          <w:b/>
          <w:color w:val="1E293B"/>
          <w:sz w:val="20"/>
        </w:rPr>
        <w:t>Tableau 12 : Top 15 types d'incohérences les plus fréquents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8"/>
              </w:rPr>
              <w:t>Sévérité</w:t>
            </w:r>
          </w:p>
        </w:tc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8"/>
              </w:rPr>
              <w:t>Type d'incohérence (modèle)</w:t>
            </w:r>
          </w:p>
        </w:tc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8"/>
              </w:rPr>
              <w:t>Nb cas</w:t>
            </w:r>
          </w:p>
        </w:tc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8"/>
              </w:rPr>
              <w:t>Nb ménages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… de corriger ou de confirmer avec le ….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3 151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595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… manque des informations non renseignées de ( … … ), prière de renseignés toutes les ques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1 446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… de verifier l'information donnée par … … ou corriger au niveau de la section #.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894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… manque des informations non renseignées de …, prière de renseignés toutes les questions 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894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… section sur le repas pris à l'extérieur du ménage du membre … … n'est pas renseignée à #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… ou la localisation du ménage doit être bien renseignée, ne doit pas contenir des numéros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… de bien vouloir changé #.#en … et renseigné toutes les autres informations qui concerne 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…!!! … … a #ans et vit en milieu urbain dit n'avoir pas dépensé (#…) ou reçu en cadeau pou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388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… les milieux urbains c'est peu probable de voir une école dont les élèves ou étudiants 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387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…, s'il vous plaît, confirmer cette information avec le … ou la corriger.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378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) est relativement élevé.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371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… somme des quantités consommées (#kg), des quantités offertes (#kg), des quantités vendus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369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…! … les jeunes hommes (#à #ans) font des travaux ménager soit apprendre les enfants à rev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… de vérifier pour être sûr que vous avez choisi les bonnes modalités des questions #.#et 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… de renseigner la bonne adresse.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319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2026-06-06</w:t>
      </w:r>
    </w:p>
    <w:p>
      <w:r>
        <w:rPr>
          <w:b/>
          <w:color w:val="1E293B"/>
          <w:sz w:val="20"/>
        </w:rPr>
        <w:t>Tableau 13 : Top 15 DR avec le plus de rejets HAUTE sévérité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DR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Nb rejets HAUTE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Nb ménages concernés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1,11202E+11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EQ14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014301220014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EQ3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33202050056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EQ24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061203020020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EQ27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011301410011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EQ2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62202010008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EQ29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92203050027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EQ27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11301220059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EQ1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1,03202E+11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EQ31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61203030008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EQ26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011301130032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EQ1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32202030015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EQ25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32202050007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EQ25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33202050192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EQ24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41201030002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EQ13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2026-06-06</w:t>
      </w:r>
    </w:p>
    <w:p>
      <w:r>
        <w:rPr>
          <w:b/>
          <w:color w:val="1E293B"/>
          <w:sz w:val="20"/>
        </w:rPr>
        <w:t>Tableau 14 : Top 15 enquêteurs avec le plus de rejets par ménage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8"/>
              </w:rPr>
              <w:t>Enquêteur</w:t>
            </w:r>
          </w:p>
        </w:tc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8"/>
              </w:rPr>
              <w:t>Nb ménages</w:t>
            </w:r>
          </w:p>
        </w:tc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8"/>
              </w:rPr>
              <w:t>Nb rejets</w:t>
            </w:r>
          </w:p>
        </w:tc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8"/>
              </w:rPr>
              <w:t>Rejets/ménage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EQ10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EQ10_enq1_v2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358,0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EQ29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EQ29_enq3_v2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331,0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EQ22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EQ22_enq4_v2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323,0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EQ16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EQ16_enq1_v2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318,0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EQ2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EQ2_enq3_v2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300,5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EQ7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EQ7_enq3_v2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582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291,0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EQ35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EQ35_enq4_v2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290,0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EQ34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EQ34_enq4_v2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269,0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EQ10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EQ10_enq2_v2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202,0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EQ34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EQ34_enq3_v2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595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198,3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EQ13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EQ13_enq4_v2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196,0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EQ6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EQ6_enq2_v2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573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191,0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EQ13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EQ13_enq1_v2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185,3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EQ13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EQ13_enq3_v2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741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185,2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EQ23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EQ23_enq2_v2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182,3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2026-06-06</w:t>
      </w:r>
    </w:p>
    <w:p>
      <w:pPr>
        <w:jc w:val="center"/>
      </w:pPr>
      <w:r>
        <w:rPr>
          <w:i/>
          <w:color w:val="64748B"/>
          <w:sz w:val="16"/>
        </w:rPr>
        <w:t>Rapport généré automatiquement le 2026-06-07 13:26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