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(6) ans du premier mariage de DIOR MBAYE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ABLAYE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AHMETH SECK2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ABLAYE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AHMETH SECK2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AHMETH SECK2 )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AHMETH SECK2 dispose d'un acte de naissance soit n'en dispose pas.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AHMETH SECK2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AHMETH SECK2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AMETH SECK1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DIOR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DIOR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DJILY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AHMETH SECK2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MBAYE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DIOR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DJILY SECK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(96000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DJILY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