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78-34-41-71</w:t>
      </w:r>
    </w:p>
    <w:p>
      <w:r>
        <w:rPr>
          <w:b w:val="0"/>
          <w:i w:val="0"/>
          <w:color w:val="64748B"/>
          <w:sz w:val="18"/>
        </w:rPr>
        <w:t>Enquêteur : EQ21_sup_v2  ·  Équipe : EQ21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52101000015</w:t>
            </w:r>
          </w:p>
        </w:tc>
        <w:tc>
          <w:tcPr>
            <w:tcW w:type="dxa" w:w="3551"/>
            <w:shd w:fill="F8FAFC"/>
          </w:tcPr>
          <w:p>
            <w:r>
              <w:rPr>
                <w:b w:val="0"/>
                <w:i w:val="0"/>
                <w:color w:val="64748B"/>
                <w:sz w:val="14"/>
              </w:rPr>
              <w:t>MÉNAGE</w:t>
              <w:br/>
            </w:r>
            <w:r>
              <w:rPr>
                <w:b/>
                <w:i w:val="0"/>
                <w:color w:val="1F6FEB"/>
                <w:sz w:val="18"/>
              </w:rPr>
              <w:t>78-34-41-71</w:t>
            </w:r>
          </w:p>
        </w:tc>
        <w:tc>
          <w:tcPr>
            <w:tcW w:type="dxa" w:w="3551"/>
            <w:shd w:fill="F8FAFC"/>
          </w:tcPr>
          <w:p>
            <w:r>
              <w:rPr>
                <w:b w:val="0"/>
                <w:i w:val="0"/>
                <w:color w:val="64748B"/>
                <w:sz w:val="14"/>
              </w:rPr>
              <w:t>CHEF DE MÉNAGE</w:t>
              <w:br/>
            </w:r>
            <w:r>
              <w:rPr>
                <w:b/>
                <w:i w:val="0"/>
                <w:sz w:val="18"/>
              </w:rPr>
              <w:t>DJIBY SOW</w:t>
            </w:r>
          </w:p>
        </w:tc>
      </w:tr>
      <w:tr>
        <w:tc>
          <w:tcPr>
            <w:tcW w:type="dxa" w:w="3551"/>
            <w:shd w:fill="F8FAFC"/>
          </w:tcPr>
          <w:p>
            <w:r>
              <w:rPr>
                <w:b w:val="0"/>
                <w:i w:val="0"/>
                <w:color w:val="64748B"/>
                <w:sz w:val="14"/>
              </w:rPr>
              <w:t>TÉLÉPHONE CM</w:t>
              <w:br/>
            </w:r>
            <w:r>
              <w:rPr>
                <w:b/>
                <w:i w:val="0"/>
                <w:sz w:val="18"/>
              </w:rPr>
              <w:t>77 929 16 30</w:t>
            </w:r>
          </w:p>
        </w:tc>
        <w:tc>
          <w:tcPr>
            <w:tcW w:type="dxa" w:w="3551"/>
            <w:shd w:fill="F8FAFC"/>
          </w:tcPr>
          <w:p>
            <w:r>
              <w:rPr>
                <w:b w:val="0"/>
                <w:i w:val="0"/>
                <w:color w:val="64748B"/>
                <w:sz w:val="14"/>
              </w:rPr>
              <w:t>LOCALISATION</w:t>
              <w:br/>
            </w:r>
            <w:r>
              <w:rPr>
                <w:b/>
                <w:i w:val="0"/>
                <w:sz w:val="18"/>
              </w:rPr>
              <w:t>SARE GUILEL</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EQ21_sup_v2  (211)</w:t>
            </w:r>
          </w:p>
        </w:tc>
        <w:tc>
          <w:tcPr>
            <w:tcW w:type="dxa" w:w="3551"/>
            <w:shd w:fill="F8FAFC"/>
          </w:tcPr>
          <w:p>
            <w:r>
              <w:rPr>
                <w:b w:val="0"/>
                <w:i w:val="0"/>
                <w:color w:val="64748B"/>
                <w:sz w:val="14"/>
              </w:rPr>
              <w:t>SUPERVISEUR</w:t>
              <w:br/>
            </w:r>
            <w:r>
              <w:rPr>
                <w:b/>
                <w:i w:val="0"/>
                <w:sz w:val="18"/>
              </w:rPr>
              <w:t>21</w:t>
            </w:r>
          </w:p>
        </w:tc>
        <w:tc>
          <w:tcPr>
            <w:tcW w:type="dxa" w:w="3551"/>
            <w:shd w:fill="F8FAFC"/>
          </w:tcPr>
          <w:p>
            <w:r>
              <w:rPr>
                <w:b w:val="0"/>
                <w:i w:val="0"/>
                <w:color w:val="64748B"/>
                <w:sz w:val="14"/>
              </w:rPr>
              <w:t>STATUT</w:t>
              <w:br/>
            </w:r>
            <w:r>
              <w:rPr>
                <w:b/>
                <w:i w:val="0"/>
                <w:sz w:val="18"/>
              </w:rPr>
              <w:t>1  ·  1ʳᵉ visite : 2026-05-19T14:55:00</w:t>
            </w:r>
          </w:p>
        </w:tc>
      </w:tr>
    </w:tbl>
    <w:p/>
    <w:p>
      <w:r>
        <w:rPr>
          <w:b/>
          <w:i w:val="0"/>
          <w:color w:val="1F6FEB"/>
          <w:sz w:val="22"/>
        </w:rPr>
        <w:t>⚠ INCOHÉRENCES À CORRIGER (74)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DJIBY SOW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FATOU SOW a declaré que la catégorie socioprofessionnelle de son père est Stagière ou Apprenti rénuméré alors que le père lui-même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FATOU SOW a declaré que le secteur institutionnel de son père est Ménage alors que le père lui-même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MAÏMOUNA SOW a declaré que la catégorie socioprofessionnelle de son père est Stagière ou Apprenti rénuméré alors que le père lui-même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MAÏMOUNA SOW a declaré que le secteur institutionnel de son père est Ménage alors que le père lui-même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OUSMANE SOW a declaré que la catégorie socioprofessionnelle de son père est Stagière ou Apprenti rénuméré alors que le père lui-même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KADIATOU DIALLO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distance parcourue (De 5 à moins de 10 Km) et le temps (De 15 à moins de 30 mn) donné par FATOU SOW semble incoherent pour accéder au lieu de la consultation.</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distance parcourue (De 5 à moins de 10 Km) et le temps (De 15 à moins de 30 mn) donné par KADIATOU DIALLO semble incoherent pour accéder au lieu de la consultation.</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Incohérence! DJIBY SOW  evolue dans l'agriculture mais est  considéré comme salarié ou stagiaire/apprenti non renuméré, prière de revoir la question s04q46 et corriger.</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S04q10, S04q14</w:t>
            </w:r>
          </w:p>
        </w:tc>
        <w:tc>
          <w:tcPr>
            <w:tcW w:type="dxa" w:w="1191"/>
          </w:tcPr>
          <w:p>
            <w:r>
              <w:rPr>
                <w:b w:val="0"/>
                <w:i w:val="0"/>
                <w:color w:val="64748B"/>
                <w:sz w:val="16"/>
              </w:rPr>
              <w:t>GT-CQ</w:t>
            </w:r>
          </w:p>
        </w:tc>
        <w:tc>
          <w:tcPr>
            <w:tcW w:type="dxa" w:w="4706"/>
          </w:tcPr>
          <w:p>
            <w:r>
              <w:rPr>
                <w:b w:val="0"/>
                <w:i w:val="0"/>
                <w:sz w:val="17"/>
              </w:rPr>
              <w:t>Incoherence!! Au moins un membre du ménage a répondu oui à la question S04q10 ou S04q14, alors qu'aucune entreprise non agricole n'est déclarée pour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TAMBACOUNDA Urbain ont généralement comme principal matériau du toit le/la Tôles, mais celui du ménage de DJIBY SOW (Tuile) diffère de celui-ci.</w:t>
            </w:r>
          </w:p>
        </w:tc>
      </w:tr>
      <w:tr>
        <w:tc>
          <w:tcPr>
            <w:tcW w:type="dxa" w:w="964"/>
          </w:tcPr>
          <w:p>
            <w:r>
              <w:rPr>
                <w:b/>
                <w:i w:val="0"/>
                <w:color w:val="DC2626"/>
                <w:sz w:val="16"/>
              </w:rPr>
              <w:t>Haute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du béneficiaire d'argent dans la section 13b (Transfert emis) semble incoherent voir élévé, prière de verifier ou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(4000 Fcfa) dépensé ou reçu en cadeau pour les cartes prépayées, les transferts de crédit et les abonnements de  DJIBY SOW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s00q28, s01q28, s01q29, s01q30, s01q00b</w:t>
            </w:r>
          </w:p>
        </w:tc>
        <w:tc>
          <w:tcPr>
            <w:tcW w:type="dxa" w:w="1191"/>
          </w:tcPr>
          <w:p>
            <w:r>
              <w:rPr>
                <w:b w:val="0"/>
                <w:i w:val="0"/>
                <w:color w:val="64748B"/>
                <w:sz w:val="16"/>
              </w:rPr>
              <w:t>GT-CQ</w:t>
            </w:r>
          </w:p>
        </w:tc>
        <w:tc>
          <w:tcPr>
            <w:tcW w:type="dxa" w:w="4706"/>
          </w:tcPr>
          <w:p>
            <w:r>
              <w:rPr>
                <w:b w:val="0"/>
                <w:i w:val="0"/>
                <w:sz w:val="17"/>
              </w:rPr>
              <w:t>Les catégories socioprofessionnelles du père biologique de  FATOU SOW  ne sont pas coherentes, prière de corriger.</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FATOU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s00q28, s01q28, s01q29, s01q30, s01q00b</w:t>
            </w:r>
          </w:p>
        </w:tc>
        <w:tc>
          <w:tcPr>
            <w:tcW w:type="dxa" w:w="1191"/>
          </w:tcPr>
          <w:p>
            <w:r>
              <w:rPr>
                <w:b w:val="0"/>
                <w:i w:val="0"/>
                <w:color w:val="64748B"/>
                <w:sz w:val="16"/>
              </w:rPr>
              <w:t>GT-CQ</w:t>
            </w:r>
          </w:p>
        </w:tc>
        <w:tc>
          <w:tcPr>
            <w:tcW w:type="dxa" w:w="4706"/>
          </w:tcPr>
          <w:p>
            <w:r>
              <w:rPr>
                <w:b w:val="0"/>
                <w:i w:val="0"/>
                <w:sz w:val="17"/>
              </w:rPr>
              <w:t>Les catégories socioprofessionnelles du père biologique de  MAÏMOUNA SOW  ne sont pas coherentes, prière de corriger.</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MAÏMOUNA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s00q28, s01q28, s01q29, s01q30, s01q00b</w:t>
            </w:r>
          </w:p>
        </w:tc>
        <w:tc>
          <w:tcPr>
            <w:tcW w:type="dxa" w:w="1191"/>
          </w:tcPr>
          <w:p>
            <w:r>
              <w:rPr>
                <w:b w:val="0"/>
                <w:i w:val="0"/>
                <w:color w:val="64748B"/>
                <w:sz w:val="16"/>
              </w:rPr>
              <w:t>GT-CQ</w:t>
            </w:r>
          </w:p>
        </w:tc>
        <w:tc>
          <w:tcPr>
            <w:tcW w:type="dxa" w:w="4706"/>
          </w:tcPr>
          <w:p>
            <w:r>
              <w:rPr>
                <w:b w:val="0"/>
                <w:i w:val="0"/>
                <w:sz w:val="17"/>
              </w:rPr>
              <w:t>Les catégories socioprofessionnelles du père biologique de  OUSMANE SOW  ne sont pas coherentes, prière de corriger.</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OUSMANE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KADIATOU DIALLO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KADIATOU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MAÏMOUNA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( 3000 FCFA) payée de MAÏMOUNA SOW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MAÏMOUNA SOW qui fréquente 3ème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(2000 FCFA) pour l'année scolaire de MAÏMOUNA SOW qui fréquente 3ème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OUSMANE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temps ou la distance auprès de l'enquêté et confirmer cette information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KADIATOU DIALLO a eu est Ndokhoume city,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(500 Fcfa) de Pomme de terre en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DJIBY SOW (2500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DJIBY SOW (3500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DJIBY SOW (5000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Matériaux de maçonnerie pour la construction ou les grosses réparations de logement: ciment, briques, fer à béton, sable, gravier, parpaings, etc est Maçon et Matériel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DJIBY SOW (2000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revoir les sections 4 et 10 pour ce ménage.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w:t>
            </w:r>
          </w:p>
        </w:tc>
        <w:tc>
          <w:tcPr>
            <w:tcW w:type="dxa" w:w="1191"/>
          </w:tcPr>
          <w:p>
            <w:r>
              <w:rPr>
                <w:b w:val="0"/>
                <w:i w:val="0"/>
                <w:color w:val="64748B"/>
                <w:sz w:val="16"/>
              </w:rPr>
              <w:t>GT-CQ</w:t>
            </w:r>
          </w:p>
        </w:tc>
        <w:tc>
          <w:tcPr>
            <w:tcW w:type="dxa" w:w="4706"/>
          </w:tcPr>
          <w:p>
            <w:r>
              <w:rPr>
                <w:b w:val="0"/>
                <w:i w:val="0"/>
                <w:sz w:val="17"/>
              </w:rPr>
              <w:t>Un membre dans ce ménage a été considéré comme agriculteur dans la section emploi mais aucune personne dans le ménage ne pratique de l'agriculture, prière de reprendre la section agriculture.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DJIBY SOW a 54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OUSMANE SOW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OUSMANE SOW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10 Pièce Petit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9 Paquet Moyen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Moyen est très faible ou élevé.</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DJIBY SOW a comme taille 5 personnes dont ils vivent à TAMBACOUNDA Urbain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Avertissement!! La distance (en mètres) qui sépare le ménage de la principale source d'approvisionnement en eau de boisson (1000 mètres) semble élevé, prière de corriger ou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bl>
    <w:p/>
    <w:p>
      <w:r>
        <w:rPr>
          <w:b/>
          <w:i w:val="0"/>
          <w:color w:val="1F6FEB"/>
          <w:sz w:val="22"/>
        </w:rPr>
        <w:t>💬 COMMENTAIRES SUPERVISEUR / ENQUÊTEUR (3)</w:t>
      </w:r>
    </w:p>
    <w:p>
      <w:pPr>
        <w:pStyle w:val="ListBullet"/>
      </w:pPr>
      <w:r>
        <w:rPr>
          <w:b w:val="0"/>
          <w:i w:val="0"/>
          <w:color w:val="64748B"/>
          <w:sz w:val="16"/>
        </w:rPr>
        <w:t xml:space="preserve">[2026-05-19 17:38:28] </w:t>
      </w:r>
      <w:r>
        <w:rPr>
          <w:b/>
          <w:i w:val="0"/>
          <w:color w:val="1F6FEB"/>
          <w:sz w:val="16"/>
        </w:rPr>
        <w:t xml:space="preserve">EQ21_enq1_v2 </w:t>
      </w:r>
      <w:r>
        <w:rPr>
          <w:b w:val="0"/>
          <w:i w:val="0"/>
          <w:color w:val="64748B"/>
          <w:sz w:val="16"/>
        </w:rPr>
        <w:t xml:space="preserve">sur s15q12b : </w:t>
      </w:r>
      <w:r>
        <w:rPr>
          <w:b w:val="0"/>
          <w:i w:val="0"/>
          <w:sz w:val="17"/>
        </w:rPr>
        <w:t>l’année de réception est dans 12 derniers mois</w:t>
      </w:r>
    </w:p>
    <w:p>
      <w:pPr>
        <w:pStyle w:val="ListBullet"/>
      </w:pPr>
      <w:r>
        <w:rPr>
          <w:b w:val="0"/>
          <w:i w:val="0"/>
          <w:color w:val="64748B"/>
          <w:sz w:val="16"/>
        </w:rPr>
        <w:t xml:space="preserve">[2026-05-19 17:39:25] </w:t>
      </w:r>
      <w:r>
        <w:rPr>
          <w:b/>
          <w:i w:val="0"/>
          <w:color w:val="1F6FEB"/>
          <w:sz w:val="16"/>
        </w:rPr>
        <w:t xml:space="preserve">EQ21_enq1_v2 </w:t>
      </w:r>
      <w:r>
        <w:rPr>
          <w:b w:val="0"/>
          <w:i w:val="0"/>
          <w:color w:val="64748B"/>
          <w:sz w:val="16"/>
        </w:rPr>
        <w:t xml:space="preserve">sur s15q12b : </w:t>
      </w:r>
      <w:r>
        <w:rPr>
          <w:b w:val="0"/>
          <w:i w:val="0"/>
          <w:sz w:val="17"/>
        </w:rPr>
        <w:t>"l'année de réception est dans les 12 dernières mois "</w:t>
      </w:r>
    </w:p>
    <w:p>
      <w:pPr>
        <w:pStyle w:val="ListBullet"/>
      </w:pPr>
      <w:r>
        <w:rPr>
          <w:b w:val="0"/>
          <w:i w:val="0"/>
          <w:color w:val="64748B"/>
          <w:sz w:val="16"/>
        </w:rPr>
        <w:t xml:space="preserve">[2026-05-25 15:27:08] </w:t>
      </w:r>
      <w:r>
        <w:rPr>
          <w:b/>
          <w:i w:val="0"/>
          <w:color w:val="1F6FEB"/>
          <w:sz w:val="16"/>
        </w:rPr>
        <w:t xml:space="preserve">EQ21_enq1_v2 </w:t>
      </w:r>
      <w:r>
        <w:rPr>
          <w:b w:val="0"/>
          <w:i w:val="0"/>
          <w:color w:val="64748B"/>
          <w:sz w:val="16"/>
        </w:rPr>
        <w:t xml:space="preserve">sur @@Completed : </w:t>
      </w:r>
      <w:r>
        <w:rPr>
          <w:b w:val="0"/>
          <w:i w:val="0"/>
          <w:sz w:val="17"/>
        </w:rPr>
        <w:t>NEANT</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