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Sane a  fréquenté l'école est 9999.</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Aissatou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Aissatou  Coly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Boubacar Sonko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s04q19, s16Aq00</w:t>
            </w:r>
          </w:p>
        </w:tc>
        <w:tc>
          <w:tcPr>
            <w:tcW w:type="dxa" w:w="1191"/>
          </w:tcPr>
          <w:p>
            <w:r>
              <w:rPr>
                <w:b w:val="0"/>
                <w:i w:val="0"/>
                <w:color w:val="64748B"/>
                <w:sz w:val="16"/>
              </w:rPr>
              <w:t>Inter-sections</w:t>
            </w:r>
          </w:p>
        </w:tc>
        <w:tc>
          <w:tcPr>
            <w:tcW w:type="dxa" w:w="4706"/>
          </w:tcPr>
          <w:p>
            <w:r>
              <w:rPr>
                <w:b w:val="0"/>
                <w:i w:val="0"/>
                <w:sz w:val="17"/>
              </w:rPr>
              <w:t>[ssaw_vit_recoltes_sans_agric] Un membre déclare vivre de ses récoltes (s04q19=5) mais le ménage ne pratique PAS l'agriculture (s16Aq00≠1). Incohérence.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Sonko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Sadio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(30000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LAMINE SADIO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