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Chérif siaka Asabene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Mane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Sonko) , prière de renseigner toutes les questions liées à  Abdou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Sonko) , prière de renseigner toutes les questions liées à  Mariama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Chérif siaka Asabene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Mane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Abdou Sonko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Bourama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Ibrahima Sonko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Dianké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Dianké Sonko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Sonko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(3000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s18bq03, s12q02__840</w:t>
            </w:r>
          </w:p>
        </w:tc>
        <w:tc>
          <w:tcPr>
            <w:tcW w:type="dxa" w:w="1191"/>
          </w:tcPr>
          <w:p>
            <w:r>
              <w:rPr>
                <w:b w:val="0"/>
                <w:i w:val="0"/>
                <w:color w:val="64748B"/>
                <w:sz w:val="16"/>
              </w:rPr>
              <w:t>Inter-sections</w:t>
            </w:r>
          </w:p>
        </w:tc>
        <w:tc>
          <w:tcPr>
            <w:tcW w:type="dxa" w:w="4706"/>
          </w:tcPr>
          <w:p>
            <w:r>
              <w:rPr>
                <w:b w:val="0"/>
                <w:i w:val="0"/>
                <w:sz w:val="17"/>
              </w:rPr>
              <w:t>[ssaw_utiliser_fusil_sans_posseder] Le ménage chasse au fusil (s18bq03 ∈ {1,2,4}) mais ne possède PAS de fusil (s12q02__840). Incohérence.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Moto/Vélomoteur/Tricycle à moteur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