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(344)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YOUSSOUF SAGNA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BANNA GOUDIABY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s04q10, s04q14</w:t>
            </w:r>
          </w:p>
        </w:tc>
        <w:tc>
          <w:tcPr>
            <w:tcW w:type="dxa" w:w="1191"/>
          </w:tcPr>
          <w:p>
            <w:r>
              <w:rPr>
                <w:b w:val="0"/>
                <w:i w:val="0"/>
                <w:color w:val="64748B"/>
                <w:sz w:val="16"/>
              </w:rPr>
              <w:t>Inter-sections</w:t>
            </w:r>
          </w:p>
        </w:tc>
        <w:tc>
          <w:tcPr>
            <w:tcW w:type="dxa" w:w="4706"/>
          </w:tcPr>
          <w:p>
            <w:r>
              <w:rPr>
                <w:b w:val="0"/>
                <w:i w:val="0"/>
                <w:sz w:val="17"/>
              </w:rPr>
              <w:t>[ssaw_travail_biz_sans_biz] Un membre travaille dans une entreprise familiale (s04q10/s04q14=1), mais le ménage ne déclare AUCUNE entreprise non-agricole (module 10). Vérifier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SAGNA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SAGNA n'est pas renseigné, prière de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