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EQ13_sup_v2  ·  Équipe : EQ13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Binta sarr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Abdra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Abdra Sarr , prière de renseignés toutes les questions liées à Abdra Sarr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Alioune abdra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Bineta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Binta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Khadi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Khadi sarr pour la cotisation est de 300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Yousouffa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Bineta sarr a eu est maux de dents,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Khadi sarr a eu est maux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Binta sarr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Binta sarr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BINTA SOW (500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SAINT-LOUIS Urbain ont généralement comme principal matériau du toit le/la Dalle en ciment, mais celui du ménage de BINTA SOW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SAINT-LOUIS Urbain ont généralement comme principal matériau de revêtement du sol du logement le/la Ciment/Béton, mais celui du ménage de BINTA SOW (Carreaux/Marbre)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patate selon les mesures GPS est de 95.21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1000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Maimouna Gueye a 32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Maimouna Gueye a 32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Binta sarr a 61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Bineta sarr est Etudiant/Elève de la 4.21 mais Bineta sarr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 L'âge de l'article  Lit dans ce ménages est très élevé (35),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(9999) de l'article  Lit est inférieur aux prix de revente (20000)  avec l'âge du bien atteignant 35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