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MOUSSSA THIAM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AMATH THIAM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THIAM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THIAM ignore son année de naissance mais declare l'âge qu'il avait à son dernier anniverssaireLa taille du ménage lors de l'enquête principale (14) de ce ménage est inférieur à la taille du denombrement (18),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MOUSSSA THIAM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MOUSSSA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AMATH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AMATH THIAM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ASSANE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MARIAMA THIAM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AMATH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DIOMBOU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DJIBI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MOUSSSA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MOUSSSA THIAM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BABACAR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montant(100000 FCFA) des dépenses liées à l'accouchement de AMY DIAGNE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DIAGNE a eu est complication apres accouchement,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MOUSSSA THIAM,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ASTOU THIAM (3900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THIAM (131200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(12000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(1250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(9000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(100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Masque facial lavable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(100 Fcfa) au cours de 3 derniers mois de Masque facial lavable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THIAM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ActiviteTransport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zing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Moto/Vélomoteur/Tricycle à moteur a été achété à 35000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Moto/Vélomoteur/Tricycle à moteur a été revendu à 20000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arachide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(200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400000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LY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MOUSSSA THIAM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(100000 FCFA) de Charrettes est inférieur aux prix de revente (150000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