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DANFAKHA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GASSAMA ignore son année de naissance mais declare l'âge qu'il avait à son dernier anniverssaireLa taille du ménage lors de l'enquête principale (6) de ce ménage est inférieur à la taille du denombrement (7),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FATOUMATA GASSAMA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construction est Paille, Banco, motte de terre qui semble incohérent.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type de logement est Maison à Etage et le principal matériau de toit est Tôles qui semble incohérent.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à Etage à TAMBACOUNDA Urbain ont généralement comme principal matériau de construction le/la Ciment/Béton/Pierres de taille, mais celui du ménage de DOUFARE (Paille, Banco, motte de terre)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DANFAKHA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DANFAKHA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FOULA DANFAKHA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GAOUSSOU DANFAFA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FATOUMATA GASSAMA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DOUFARE DANFAKHA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GASSAMA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FATOUMATA GASSAMA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FOULA DANFAKHA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GAOUSSOU DANFAFA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( 15000 FCFA) payée de GAOUSSOU DANFAFA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DOUFARE DANFAKHA (8100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DOUFARE (542000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DOUFARE (1000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la question 11.18 auprès du ménage ou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TAMBACOUNDA Urbain ont généralement comme principal matériau du toit le/la Dalle en ciment, mais celui du ménage de DOUFARE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60000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DOUFARE a comme taille 6 personnes dont ils vivent à TAMBACOUNDA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