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BAYE YANDE DIOP) , prière de renseigner toutes les questions liées à  BAYE YANDE DIOP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FATY DIOP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NIANE DIOP ignore son année de naissance mais declare l'âge qu'il avait à son dernier anniverssaireLa taille du ménage lors de l'enquête principale (7) de ce ménage est inférieur à la taille du denombrement (12), prière de fournir des explications concrètes ou aller revisiter le ménage.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a comme principale source d'éclairage du logement   Lampe à pile/Lampe solaire mais disposent Climatiseurs/Splits installés au mur ou Chauffe-eau (pour eau chaude) ou Ventilateurs incrustés au plafond, 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FATY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KHADY NIANE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FALLOU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BAYE FALLOU DIOP qui fréquente 3ème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YANDE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COUMBA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FATY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NIANE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MBENE KHOULE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ABDOU SAMAD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( 2000 FCFA) payée de SERIGNE ABDOU SAMAD DIOP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(1000 FCFA) pour l'année scolaire de SERIGNE ABDOU SAMAD DIOP qui fréquente 2ème année de Primaire semble faible.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COUMBA FALL a eu est MAUX DE TÊTE,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MBENE KHOULE avec une taille de 7 personnes a consommé 35 miche en Moyen de Pain moderne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MBENE KHOULE (2021000 Fcfa) de la fête de Magal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(1000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(1500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(600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(9000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(20000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(25000 Fcfa) au cours de 6 derniers mois de Tissus d'habillement: tissus pagne, tissu pagne du tisserand, tissu synthétique,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(4500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(6000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(1200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(12000 Fcfa) au cours de 12 derniers mois de Achat d’accessoires numériques (casque audio, écouteurs, haut-parleurs Bluetooth, etc.)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(18000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(30000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(6000 Fcfa) au cours de 12 derniers mois de Achat d'une calculatrice scientifique pour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changer la question 11.36 à Electricité réseau car elle demeure la principale même s'elle n'est pas disponible à 100%.</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revendu à 400000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Réfrigérateur a été achété à 275000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achété à 150000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Téléphone portable a été revendu à 100000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AUTRE DEPENSE NECSSAIRE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BAYE FALLOU DIOP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COUMBA FALL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COUMBA FALL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MBENE KHOULE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(5.12 litre) du produit Huile d'arachide brute "Segal"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Morceau (Portion) Moyen de Guiss,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Tres petit est très faible ou élevé.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(100000 FCFA)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(150000 FCFA)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(250000 FCFA) par mois semble très élevé ou faible, peut-être que vous vous êtes trompés du choix de l'unité.</w:t>
            </w:r>
          </w:p>
        </w:tc>
      </w:tr>
      <w:tr>
        <w:tc>
          <w:tcPr>
            <w:tcW w:type="dxa" w:w="1134"/>
          </w:tcPr>
          <w:p>
            <w:r>
              <w:rPr>
                <w:b/>
                <w:i w:val="0"/>
                <w:color w:val="CA8A04"/>
                <w:sz w:val="16"/>
              </w:rPr>
              <w:t>Faible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(31)</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