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lahat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lahat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Alassane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Alassane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Dieynaba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Dieynaba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Gaye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Gaye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Gnokhor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Gnokhor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Kine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Kine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Diarra Samb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Diarra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Diarra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Mbéry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Mbéry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Papana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Papana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Rokhy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Rokhy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Moustapha Lakrame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Moustapha Lakrame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Saliou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Saliou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Sokhna Khadim Samb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Sokhna Khadim Samb a declaré que la catégorie socioprofessionnelle de son père est Cadre moyen/agent de maîtrise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Abdou lahat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Alassane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Amy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Daba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Dieynaba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Fallou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Gaye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Gnokhor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Kine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Mame Diarra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Mbéry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Papana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Rokhy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Serigne Moustapha Lakrame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Serigne Saliou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Serigne Samb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Sokhna Khadim Samb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lahat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Abdou lahat Samb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Alassane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Alassane Samb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Amy Samb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Daba Samb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Dieynaba Samb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Fallou Samb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Gaye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Gnokhor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Ibrahima Samb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Kine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( 11000 FCFA) payée de Mame Diarra Samb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Mane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Mbéry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Papana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Papana Samb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Rokhy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Saliou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Saliou Dieng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Moustapha Lakrame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Saliou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Khadim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Sokhna Khadim Samb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montant(73000 FCFA) des dépenses liées à l'accouchement de Sokhna Khadim Samb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montant(750 FCFA) des dépenses pour chaque visite prénatale de Mane Sene semble faible (voir nul) ou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Adama Samb est de 0, il ne doit pas être égal à 0.</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revenu de Adama Samb.</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Moyen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Samb (11000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Samb (30000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Samb (35000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15000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revoir les questions 16B04, 16B05 et 16B08.</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Mbéry Samb fréquente 2ème année de Primaire mais ne sait pas écrire, prière de vérifier auprès de Mbéry Samb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Gaye Samb est Etudiant/Elève de la 4.21 mais Gaye Samb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Kine Samb est Etudiant/Elève de la 4.21 mais Kine Samb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(6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(8000) de l'article  Bonbonne de gaz est inférieur aux prix de revente (10000)  avec l'âge du bien atteignant 5 ans.</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