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BA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BA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(4500 Fcfa) dépensé ou reçu en cadeau pour les cartes prépayées, les transferts de crédit et les abonnements de  MOUSSA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MOUSSA BA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ABDOULAYE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DIENABOU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DIENABOU DIALLO n'a pas fait des études dans une école formelle est ETUDE ACHEVE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LAWRATOU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( 21000 FCFA) payée de LAWRATOU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MOUSSA BA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raison principale que LAWRATOU BA n'as pas consulté est IL LUI EN RESTE DES MEDICAMENT DE RHUME,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OUSMANE DIALLO a eu est maux des yeux,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MOUSSA BA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DIENABOU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(2 heures) que DIENABOU DIALLO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MOUSSA BA n'a pas demandé de crédit auprès d'une institution financière au cours des 12 derniers mois est NE SUPPORTE PAS LA PRESSION BANCAIRE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MOUSSA BA (5550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MOUSSA BA (166000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(4000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(6000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(3000 Fcfa) au cours de 30 derniers jours de Frais de ramassage des ordures ménagères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(10000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(5000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(3000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(15000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(15000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(18000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(22500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(230000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BA (8000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statut d'occupation actuel du ménage est HERITAGE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230000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200000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revendu à 200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KADIATOU BA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OUSMANE DIALLO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OUSMANE DIALLO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