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03-72-51-09</w:t>
      </w:r>
    </w:p>
    <w:p>
      <w:r>
        <w:rPr>
          <w:b w:val="0"/>
          <w:i w:val="0"/>
          <w:color w:val="64748B"/>
          <w:sz w:val="18"/>
        </w:rPr>
        <w:t>Enquêteur : EQ33_sup_v2  ·  Équipe : EQ33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023201030018</w:t>
            </w:r>
          </w:p>
        </w:tc>
        <w:tc>
          <w:tcPr>
            <w:tcW w:type="dxa" w:w="3551"/>
            <w:shd w:fill="F8FAFC"/>
          </w:tcPr>
          <w:p>
            <w:r>
              <w:rPr>
                <w:b w:val="0"/>
                <w:i w:val="0"/>
                <w:color w:val="64748B"/>
                <w:sz w:val="14"/>
              </w:rPr>
              <w:t>MÉNAGE</w:t>
              <w:br/>
            </w:r>
            <w:r>
              <w:rPr>
                <w:b/>
                <w:i w:val="0"/>
                <w:color w:val="1F6FEB"/>
                <w:sz w:val="18"/>
              </w:rPr>
              <w:t>03-72-51-09</w:t>
            </w:r>
          </w:p>
        </w:tc>
        <w:tc>
          <w:tcPr>
            <w:tcW w:type="dxa" w:w="3551"/>
            <w:shd w:fill="F8FAFC"/>
          </w:tcPr>
          <w:p>
            <w:r>
              <w:rPr>
                <w:b w:val="0"/>
                <w:i w:val="0"/>
                <w:color w:val="64748B"/>
                <w:sz w:val="14"/>
              </w:rPr>
              <w:t>CHEF DE MÉNAGE</w:t>
              <w:br/>
            </w:r>
            <w:r>
              <w:rPr>
                <w:b/>
                <w:i w:val="0"/>
                <w:sz w:val="18"/>
              </w:rPr>
              <w:t>FATOU SANE</w:t>
            </w:r>
          </w:p>
        </w:tc>
      </w:tr>
      <w:tr>
        <w:tc>
          <w:tcPr>
            <w:tcW w:type="dxa" w:w="3551"/>
            <w:shd w:fill="F8FAFC"/>
          </w:tcPr>
          <w:p>
            <w:r>
              <w:rPr>
                <w:b w:val="0"/>
                <w:i w:val="0"/>
                <w:color w:val="64748B"/>
                <w:sz w:val="14"/>
              </w:rPr>
              <w:t>TÉLÉPHONE CM</w:t>
              <w:br/>
            </w:r>
            <w:r>
              <w:rPr>
                <w:b/>
                <w:i w:val="0"/>
                <w:sz w:val="18"/>
              </w:rPr>
              <w:t>78 499 53 33</w:t>
            </w:r>
          </w:p>
        </w:tc>
        <w:tc>
          <w:tcPr>
            <w:tcW w:type="dxa" w:w="3551"/>
            <w:shd w:fill="F8FAFC"/>
          </w:tcPr>
          <w:p>
            <w:r>
              <w:rPr>
                <w:b w:val="0"/>
                <w:i w:val="0"/>
                <w:color w:val="64748B"/>
                <w:sz w:val="14"/>
              </w:rPr>
              <w:t>LOCALISATION</w:t>
              <w:br/>
            </w:r>
            <w:r>
              <w:rPr>
                <w:b/>
                <w:i w:val="0"/>
                <w:sz w:val="18"/>
              </w:rPr>
              <w:t>H2 FANGHOTE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EQ33_sup_v2  (333)</w:t>
            </w:r>
          </w:p>
        </w:tc>
        <w:tc>
          <w:tcPr>
            <w:tcW w:type="dxa" w:w="3551"/>
            <w:shd w:fill="F8FAFC"/>
          </w:tcPr>
          <w:p>
            <w:r>
              <w:rPr>
                <w:b w:val="0"/>
                <w:i w:val="0"/>
                <w:color w:val="64748B"/>
                <w:sz w:val="14"/>
              </w:rPr>
              <w:t>SUPERVISEUR</w:t>
              <w:br/>
            </w:r>
            <w:r>
              <w:rPr>
                <w:b/>
                <w:i w:val="0"/>
                <w:sz w:val="18"/>
              </w:rPr>
              <w:t>33</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(123)</w:t>
      </w:r>
    </w:p>
    <w:tbl>
      <w:tblPr>
        <w:tblStyle w:val="TableGrid"/>
        <w:tblW w:type="auto" w:w="0"/>
        <w:tblLook w:firstColumn="1" w:firstRow="1" w:lastColumn="0" w:lastRow="0" w:noHBand="0" w:noVBand="1" w:val="04A0"/>
      </w:tblPr>
      <w:tblGrid>
        <w:gridCol w:w="2663"/>
        <w:gridCol w:w="2663"/>
        <w:gridCol w:w="2663"/>
        <w:gridCol w:w="2663"/>
      </w:tblGrid>
      <w:tr>
        <w:tc>
          <w:tcPr>
            <w:tcW w:type="dxa" w:w="1134"/>
            <w:shd w:fill="1F6FEB"/>
          </w:tcPr>
          <w:p>
            <w:r>
              <w:rPr>
                <w:b/>
                <w:i w:val="0"/>
                <w:color w:val="FFFFFF"/>
                <w:sz w:val="16"/>
              </w:rPr>
              <w:t>Sévérité</w:t>
            </w:r>
          </w:p>
        </w:tc>
        <w:tc>
          <w:tcPr>
            <w:tcW w:type="dxa" w:w="1361"/>
            <w:shd w:fill="1F6FEB"/>
          </w:tcPr>
          <w:p>
            <w:r>
              <w:rPr>
                <w:b/>
                <w:i w:val="0"/>
                <w:color w:val="FFFFFF"/>
                <w:sz w:val="16"/>
              </w:rPr>
              <w:t>Section</w:t>
            </w:r>
          </w:p>
        </w:tc>
        <w:tc>
          <w:tcPr>
            <w:tcW w:type="dxa" w:w="1361"/>
            <w:shd w:fill="1F6FEB"/>
          </w:tcPr>
          <w:p>
            <w:r>
              <w:rPr>
                <w:b/>
                <w:i w:val="0"/>
                <w:color w:val="FFFFFF"/>
                <w:sz w:val="16"/>
              </w:rPr>
              <w:t>Source</w:t>
            </w:r>
          </w:p>
        </w:tc>
        <w:tc>
          <w:tcPr>
            <w:tcW w:type="dxa" w:w="5839"/>
            <w:shd w:fill="1F6FEB"/>
          </w:tcPr>
          <w:p>
            <w:r>
              <w:rPr>
                <w:b/>
                <w:i w:val="0"/>
                <w:color w:val="FFFFFF"/>
                <w:sz w:val="16"/>
              </w:rPr>
              <w:t>Message / action</w:t>
            </w:r>
          </w:p>
        </w:tc>
      </w:tr>
      <w:tr>
        <w:tc>
          <w:tcPr>
            <w:tcW w:type="dxa" w:w="1134"/>
          </w:tcPr>
          <w:p>
            <w:r>
              <w:rPr>
                <w:b/>
                <w:i w:val="0"/>
                <w:color w:val="DC2626"/>
                <w:sz w:val="16"/>
              </w:rPr>
              <w:t>Haute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incoherent! Il manque des informations non renseignées (3 question(s) de  Dieynaba sane) , prière de renseigner toutes les questions liées à  Dieynaba sane .</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Bacary Badji a declaré que la catégorie socioprofessionnelle de sa mère est Travailleur familial contribuant à une entreprise familiale alors que la mère elle-même declare comme catégorie socioprofessionnelle Travailleur pour compte propre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Khadidja Badji a declaré que la catégorie socioprofessionnelle de sa mère est Travailleur familial contribuant à une entreprise familiale alors que la mère elle-même declare comme catégorie socioprofessionnelle Travailleur pour compte propre au niveau de la section 4b.</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Incohérence!!! seulement les écoles privées paient les frais de scolarité (y compris les frais d'inscription).</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Incohérent!! Le niveau d'instruction déclaré par l'un des enfants (Primaire) au niveau de la section 1 de Bineta Diedhiou diffère de celui donné par Bineta Diedhiou lui-même qui affirme ne pas avoir frequenté l'école formelle.</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Incohérence ! Sarata Manga frequente actuellement 3ème année de Supérieur mais dit avoir reçu une bourse de 80000 FCFA.</w:t>
            </w:r>
          </w:p>
        </w:tc>
      </w:tr>
      <w:tr>
        <w:tc>
          <w:tcPr>
            <w:tcW w:type="dxa" w:w="1134"/>
          </w:tcPr>
          <w:p>
            <w:r>
              <w:rPr>
                <w:b/>
                <w:i w:val="0"/>
                <w:color w:val="DC2626"/>
                <w:sz w:val="16"/>
              </w:rPr>
              <w:t>Haute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Incoherence!! Le ménage a depensé .</w:t>
            </w:r>
          </w:p>
        </w:tc>
      </w:tr>
      <w:tr>
        <w:tc>
          <w:tcPr>
            <w:tcW w:type="dxa" w:w="1134"/>
          </w:tcPr>
          <w:p>
            <w:r>
              <w:rPr>
                <w:b/>
                <w:i w:val="0"/>
                <w:color w:val="DC2626"/>
                <w:sz w:val="16"/>
              </w:rPr>
              <w:t>Haute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FCFA dans Frais de connexion au réseau de distribution d'eau mais dit ne pas être connecté à un réseau d'eau courante, prière de corriger cette incoherenceAttention!!! Les ménages vivants dans un(e) Maison Basse à ZIGUINCHOR Rural ont généralement comme principal matériau de revêtement du sol du logement le/la Ciment/Béton, mais celui du ménage de Fatou sane (Terre battue/Sable) diffère de celui-ci.</w:t>
            </w:r>
          </w:p>
        </w:tc>
      </w:tr>
      <w:tr>
        <w:tc>
          <w:tcPr>
            <w:tcW w:type="dxa" w:w="1134"/>
          </w:tcPr>
          <w:p>
            <w:r>
              <w:rPr>
                <w:b/>
                <w:i w:val="0"/>
                <w:color w:val="DC2626"/>
                <w:sz w:val="16"/>
              </w:rPr>
              <w:t>Haute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quantité de s16dq05a estimée en Kg est incohérente avec la prise dans la question s16dq05c, prière de bien estimer et mettre la valeur exacte.</w:t>
            </w:r>
          </w:p>
        </w:tc>
      </w:tr>
      <w:tr>
        <w:tc>
          <w:tcPr>
            <w:tcW w:type="dxa" w:w="1134"/>
          </w:tcPr>
          <w:p>
            <w:r>
              <w:rPr>
                <w:b/>
                <w:i w:val="0"/>
                <w:color w:val="DC2626"/>
                <w:sz w:val="16"/>
              </w:rPr>
              <w:t>Haute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somme des quantités consommées (25 kg), des quantités offertes (5 kg),  des quantités vendus (30 kg) et des quantités en stock (0 kg) depasse la quantité totale (1 kg) que le ménage a eu après la recolte de Arachide , prière de corriger cette incoherence.</w:t>
            </w:r>
          </w:p>
        </w:tc>
      </w:tr>
      <w:tr>
        <w:tc>
          <w:tcPr>
            <w:tcW w:type="dxa" w:w="1134"/>
          </w:tcPr>
          <w:p>
            <w:r>
              <w:rPr>
                <w:b/>
                <w:i w:val="0"/>
                <w:color w:val="EA580C"/>
                <w:sz w:val="16"/>
              </w:rPr>
              <w:t>Moyenne</w:t>
            </w:r>
          </w:p>
        </w:tc>
        <w:tc>
          <w:tcPr>
            <w:tcW w:type="dxa" w:w="1361"/>
          </w:tcPr>
          <w:p>
            <w:r>
              <w:rPr>
                <w:b/>
                <w:i w:val="0"/>
                <w:sz w:val="16"/>
              </w:rPr>
              <w:t>—</w:t>
              <w:br/>
            </w:r>
            <w:r>
              <w:rPr>
                <w:b w:val="0"/>
                <w:i w:val="0"/>
                <w:color w:val="64748B"/>
                <w:sz w:val="14"/>
              </w:rPr>
            </w:r>
          </w:p>
        </w:tc>
        <w:tc>
          <w:tcPr>
            <w:tcW w:type="dxa" w:w="1361"/>
          </w:tcPr>
          <w:p>
            <w:r>
              <w:rPr>
                <w:b w:val="0"/>
                <w:i w:val="0"/>
                <w:color w:val="64748B"/>
                <w:sz w:val="16"/>
              </w:rPr>
              <w:t>Natif SuSo</w:t>
            </w:r>
          </w:p>
        </w:tc>
        <w:tc>
          <w:tcPr>
            <w:tcW w:type="dxa" w:w="5839"/>
          </w:tcPr>
          <w:p>
            <w:r>
              <w:rPr>
                <w:b w:val="0"/>
                <w:i w:val="0"/>
                <w:sz w:val="17"/>
              </w:rPr>
              <w:t>ERREUR: La [culture principale](s16Aq08) ne figure pas dans la liste des cultures pratiquées sur la parcelle.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L'adresse ou la localisation du ménage doit être bien renseignée, ne doit pas contenir des numéros de téléphone et elle semble courte pour être une adresse.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mettre les noms dans ces questions et mettre les contacts à leurs places.</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Attention! Veillez bien renseigner les contacts dans les questions de 0.14 ou 0.16 ou 0.18.</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Attention ! Le montant (7500 Fcfa) dépensé ou reçu en cadeau pour les cartes prépayées, les transferts de crédit et les abonnements de  Cheikh Tidiane sane est relativement élevé par rapport aux autres montants depansés observés dans cette zone.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Attention ! Le montant (7500 Fcfa) dépensé ou reçu en cadeau pour les recharges internet ou de forfaits de données mobiles(hors appels vocaux), aucours des 30 derniers jours de  Cheikh Tidiane sane est relativement élevé par rapport aux autres montants depansés observés dans cette zone.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Attention ! Vous avez déclaré en s01q00 que le répondant est la personne elle-même, or Bacary Badji est trop jeune (1 ans) pour fournir des informations correctes.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refaire la section 1 pour Bacary Badji en demandant à un adulte de répondre aux questions à sa place.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Bacary Badji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Attention ! Vous avez déclaré en s01q00 que le répondant est la personne elle-même, or Khadidja Badji est trop jeune (2 ans) pour fournir des informations correctes.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refaire la section 1 pour Khadidja Badji en demandant à un adulte de répondre aux questions à sa place.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Khadidja Badji ou corriger au niveau de la section 1.</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Abdoulaye sane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corriger ou donner des explications au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Aissatou diedhiou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( 1500 FCFA) payée de Aissatou diedhiou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Bineta Diedhiou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Merci de bien vouloir changé 2.04 en OUI et renseigné toutes les autres informations qui concerne Bineta Diedhiou .</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Cheikh Tidiane sane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Dieynaba sane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Fatou Sane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Mareme Sane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( 1500 FCFA) payée de Mareme Sane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Attention!!! le montant payé de Mareme Sane pour la cotisation est de 200 FCFA qui semble faible.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verifier cette information auprès de l'enquêté ou confirmer avec le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Sarata Manga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( 25000 FCFA) payée de Sarata Manga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Le montant des frais pour les cahiers et autres matériels scolaires pour l'année scolaire de Sarata Manga qui fréquente 3ème année de Supérieur  est de 0 FCFA, Sarata Manga a fait comment pour payer ces cahiers et autres matériels scolaires (SAC, stylo, craie, ardoise, crayon...) ? prière de corriger.</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Prière de corriger ou confirmer cette information avec le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La filière de Sarata Manga est Multimédia internet communication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Attention ! La dépense totale de frais de consultation dans un service de santé ou un guérisseur au cours des 3 derniers mois sans hospitalisation (23500 Fcfa) de Sarata Manga est relativement élevé.</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le nombre d'heure (3 heures) que Bineta Diedhiou a travaillé par jour semble faible, veuillez s'il vous plait confirmer cette information avec le QG.</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le nombre d'heure (3 heures) que Dieynaba sane a travaillé par jour semble faible, veuillez s'il vous plait confirmer cette information avec le QG.</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le nombre d'heure (3 heures) que Fatou Sane a travaillé par jour semble faible, veuillez s'il vous plait confirmer cette information avec le QG.</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Prière de changer la branche d'activité de Abdoulaye sane, les agriculteurs dont leurs cultures est principalement destiné à la consommation du ménage sont des (Agriculteurs, subsistances) et ceux qui le font avec l'élevage sont des (Agriculteurs et eleveurs, subsistances)Attention ! Le nombre de jours (6 jours) que Abdoulaye sane a travaillés par mois semble être inférieur à 15.</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Veuillez, s'il vous plaît, confirmer cette information.</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 Le nombre de jours que Cheikh Tidiane sane a travaillés par mois semble être inférieur à 15.</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Veuillez, s'il vous plaît, confirmer cette information.</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(150 Fcfa) de Pain moderne en miche (Moyen) est relativement faible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(16.66667 Fcfa) de Piment séché/ poudre en Sachets (Petit) est relativement faible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Difficile de consommer le Sel en Boite de tomate/Pot Petit prière de verifier.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Peu plausible!! Ce ménage à consommer du sel en unité Boite de tomate/Pot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Veuillez selectionner la bonne unité de consommation ou confirmez l'unité choisie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prix d'achat unitaire (150 Fcfa) de Arachides pilées en Kg de taille  taille unique  est très faible, prière de regarder les reponses prises dans les questions s07bq07a s07bq07b s07bq07c s07bq08 pour mieux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Gamou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Magal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dernière fois que vous avez acheté Frais de coiffure homme et femme (salon, tressage, mèches, coupe, etc.), manucure, pédicure est ménage/ particulier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Fatou sane (2000 Fcfa) au cours de 30 derniers jours de Frais de coiffure homme et femme (salon, tressage, mèches, coupe, etc.), manucure, pédicure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Fatou sane (2500 Fcfa) au cours de 30 derniers jours de Billet de loterie nationale, billet de PMU et tout autre pari sportif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Fatou sane (500 Fcfa) au cours de 30 derniers jours de Piles électriques,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Fatou sane (12000 Fcfa) au cours de 12 derniers mois de Outillage de maison: outils de bricolage (marteau, tournevis, etc.); outil de jardinage (pelle, râteau, brouette,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Fatou sane (12500 Fcfa) au cours de 12 derniers mois de Frais d'abonnement au réseau de distribution d'électricité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Fatou sane (8500 Fcfa) au cours de 12 derniers mois de Autres ustensiles de ménage: seau, bouilloire, biberon, poubelle, tasses, cafétière non électrique, théière, calebasse, louche, jarre, canari, mortier, pilon,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Fatou sane (9500 Fcfa) au cours de 12 derniers mois de Ustensiles de cuisine: casserole, marmite, tamis local, réparation d'ustensiles de cuisine, etc est relativement élevé.</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Prière de vérifier pour être sûr que vous avez choisi les bonnes modalités des questions 11.01 et 11.19.</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Merci de ne pas corriger si vous êtes sûr de celui donné par le ménage et observé par vous.</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Attention ! Fer à repasser à charbon a été achété à 15000 Fcfa est relativement élevé par rapport aux autres prix d'achat observés dans cette zone.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Le nombre d'article ( Salon  (Fauteuils et table basse))  dans ce ménages est élevé (8), prière de corriger ou confirmer avec le QG.</w:t>
            </w:r>
          </w:p>
        </w:tc>
      </w:tr>
      <w:tr>
        <w:tc>
          <w:tcPr>
            <w:tcW w:type="dxa" w:w="1134"/>
          </w:tcPr>
          <w:p>
            <w:r>
              <w:rPr>
                <w:b/>
                <w:i w:val="0"/>
                <w:color w:val="EA580C"/>
                <w:sz w:val="16"/>
              </w:rPr>
              <w:t>Moyenne</w:t>
            </w:r>
          </w:p>
        </w:tc>
        <w:tc>
          <w:tcPr>
            <w:tcW w:type="dxa" w:w="1361"/>
          </w:tcPr>
          <w:p>
            <w:r>
              <w:rPr>
                <w:b/>
                <w:i w:val="0"/>
                <w:sz w:val="16"/>
              </w:rPr>
              <w:t>S13</w:t>
              <w:br/>
            </w:r>
            <w:r>
              <w:rPr>
                <w:b w:val="0"/>
                <w:i w:val="0"/>
                <w:color w:val="64748B"/>
                <w:sz w:val="14"/>
              </w:rPr>
              <w:t>Transferts</w:t>
            </w:r>
          </w:p>
        </w:tc>
        <w:tc>
          <w:tcPr>
            <w:tcW w:type="dxa" w:w="1361"/>
          </w:tcPr>
          <w:p>
            <w:r>
              <w:rPr>
                <w:b w:val="0"/>
                <w:i w:val="0"/>
                <w:color w:val="64748B"/>
                <w:sz w:val="16"/>
              </w:rPr>
              <w:t>GT-CQ</w:t>
            </w:r>
          </w:p>
        </w:tc>
        <w:tc>
          <w:tcPr>
            <w:tcW w:type="dxa" w:w="5839"/>
          </w:tcPr>
          <w:p>
            <w:r>
              <w:rPr>
                <w:b w:val="0"/>
                <w:i w:val="0"/>
                <w:sz w:val="17"/>
              </w:rPr>
              <w:t>Le principal motif du transfert est les matériaux pour équiper le champs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Inter-sections</w:t>
            </w:r>
          </w:p>
        </w:tc>
        <w:tc>
          <w:tcPr>
            <w:tcW w:type="dxa" w:w="5839"/>
          </w:tcPr>
          <w:p>
            <w:r>
              <w:rPr>
                <w:b w:val="0"/>
                <w:i w:val="0"/>
                <w:sz w:val="17"/>
              </w:rPr>
              <w:t>[ssaw_autre_filet_securite] Raison non-bénéfice filet sécurité saisie en 'Autre' (s15q06_autre). Vérifier si une modalité existante aurait dû être utilisée.</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salaire d'un homme de 15ans et plus ayant travaillé sur la parcelle parcelle oseille et  gobo par jours au moment de la période de préparation du sol (labour) et des semis est de 357.1429 FCFA qui semble faible ou  élevé, prière de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salaire d'un homme de 15ans et plus ayant travaillé sur la parcelle parcelle oseille et  gobo par jours au moment de la période des récoltes est de 357.1429 FCFA qui semble faible ou  élevé, prière de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principale source d'eau de la parcelle parcelle oseille et  gobo est moto pompe électrique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superficie de la parcelle parcelle oseille et  gobo selon les mesures GPS est de 0 hectare qui semble élevé ou faible, prière de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Attention! La quantité totale (.25 Kilogramme) utilisée de semences de Oseille semble faible, prière de vérifier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Attention! La quantité totale achétée (.25 Kilogramme) de semences de Oseille semble faible, prière de vérifier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Attention! La somme des quantité achetée et reçue en cadeau ou de don (1.5 Kilogramme) de Engrais inorganiques - Urée est supérieur à la quantité totale utilisée (1 Kilogramme), prière de vérifier auprès de l'enquêté et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prix d'achat de Engrais inorganiques - Urée est de 5500 FCFA par Kilogramme qui semble élevé, prière de vérifier  le montant d'achat (5500 FCFA pour 1 Kilogramme) de Engrais inorganiques - Urée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prix d'achat de Engrais inorganiques - Phosphates est de 5750 FCFA par Kilogramme qui semble élevé, prière de vérifier  le montant d'achat (5750 FCFA pour 1 Kilogramme) de Engrais inorganiques - Phosphates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prix d'achat de Produits phytosanitaires - Pesticides est de 2500 FCFA par Litre qui semble élevé, prière de vérifier  le montant d'achat (1250 FCFA pour .5 Litre) de Produits phytosanitaires - Pesticides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prix d'achat de Produits phytosanitaires -Fongicides est de 4000 FCFA par Kilogramme qui semble élevé, prière de vérifier  le montant d'achat (4000 FCFA pour 1 Kilogramme) de Produits phytosanitaires -Fongicides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prix d'achat de Semences d'arachide est de 244 FCFA par Kilogramme qui semble faible, prière de vérifier  le montant d'achat (610 FCFA pour 2.5 Kilogramme) de Semences d'arachide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prix d'achat de semences de Gombo est de 1.25 FCFA par Gramme qui semble faible, prière de vérifier  le montant d'achat (150 FCFA pour 120 Gramme) de semences de Gombo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Pour la parcelle parcelle oseille et  gobo la quantité estimée (1 Kg) est incorrecte (Exemple : si le ménage a eu 10 sacs de 100kg = 10*100=1000kg), prière de corriger merci.</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somme des quantités consommées (.13 kg), des quantités offertes (0 kg),  des quantités vendus (.1 kg) et des quantités en stock (0 kg) diffère de celle de la quantité totale (1 kg) que le ménage a eu après la recolte de Gombo.</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Merci de verifier si Gombo a été mis dans plusieurs parcelle alors faites la somme de ces quantités en 16c.16d et les repartir dans les questions (16d.02a,16d.03a, 16d.05d et 16d.13a ).</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prix de vente d'un kg de Oseille est de 200000 FCFA qui semble élevé, prière de verifier le montant tiré de la vente (200000 FCFA) de Oseille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prix de vente d'un kg de Arachide est de 9150 FCFA qui semble élevé, prière de verifier le montant tiré de la vente (9150 FCFA) de Arachide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somme des quantités consommées (25 kg), des quantités offertes (5 kg),  des quantités vendus (30 kg) et des quantités en stock (0 kg) diffère de celle de la quantité totale (1 kg) que le ménage a eu après la recolte de Arachide.</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Natif SuSo</w:t>
            </w:r>
          </w:p>
        </w:tc>
        <w:tc>
          <w:tcPr>
            <w:tcW w:type="dxa" w:w="5839"/>
          </w:tcPr>
          <w:p>
            <w:r>
              <w:rPr>
                <w:b w:val="0"/>
                <w:i w:val="0"/>
                <w:sz w:val="17"/>
              </w:rPr>
              <w:t>Erreur. Dans la liste des cultures renseignée doit figurer la culture principale indiquée à la question 16A.08. Veuillez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Natif SuSo</w:t>
            </w:r>
          </w:p>
        </w:tc>
        <w:tc>
          <w:tcPr>
            <w:tcW w:type="dxa" w:w="5839"/>
          </w:tcPr>
          <w:p>
            <w:r>
              <w:rPr>
                <w:b w:val="0"/>
                <w:i w:val="0"/>
                <w:sz w:val="17"/>
              </w:rPr>
              <w:t>Incohérence. Le nombre de culture renseigné dans la question 16C.05 est différent du nombre de cultures dans la question 16A.07. Veuillez corriger.</w:t>
            </w:r>
          </w:p>
        </w:tc>
      </w:tr>
      <w:tr>
        <w:tc>
          <w:tcPr>
            <w:tcW w:type="dxa" w:w="1134"/>
          </w:tcPr>
          <w:p>
            <w:r>
              <w:rPr>
                <w:b/>
                <w:i w:val="0"/>
                <w:color w:val="EA580C"/>
                <w:sz w:val="16"/>
              </w:rPr>
              <w:t>Moyenne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Attention ! Houe asine a été revendu à 2500 Fcfa qui est relativement élevé par rapport aux autres prix de revente observés dans cette zone.</w:t>
            </w:r>
          </w:p>
        </w:tc>
      </w:tr>
      <w:tr>
        <w:tc>
          <w:tcPr>
            <w:tcW w:type="dxa" w:w="1134"/>
          </w:tcPr>
          <w:p>
            <w:r>
              <w:rPr>
                <w:b/>
                <w:i w:val="0"/>
                <w:color w:val="EA580C"/>
                <w:sz w:val="16"/>
              </w:rPr>
              <w:t>Moyenne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Attention ! Machette a été revendu à 2000 Fcfa qui est relativement élevé par rapport aux autres prix de revente observés dans cette zone.</w:t>
            </w:r>
          </w:p>
        </w:tc>
      </w:tr>
      <w:tr>
        <w:tc>
          <w:tcPr>
            <w:tcW w:type="dxa" w:w="1134"/>
          </w:tcPr>
          <w:p>
            <w:r>
              <w:rPr>
                <w:b/>
                <w:i w:val="0"/>
                <w:color w:val="EA580C"/>
                <w:sz w:val="16"/>
              </w:rPr>
              <w:t>Moyenne</w:t>
            </w:r>
          </w:p>
        </w:tc>
        <w:tc>
          <w:tcPr>
            <w:tcW w:type="dxa" w:w="1361"/>
          </w:tcPr>
          <w:p>
            <w:r>
              <w:rPr>
                <w:b/>
                <w:i w:val="0"/>
                <w:sz w:val="16"/>
              </w:rPr>
              <w:t>S20</w:t>
              <w:br/>
            </w:r>
            <w:r>
              <w:rPr>
                <w:b w:val="0"/>
                <w:i w:val="0"/>
                <w:color w:val="64748B"/>
                <w:sz w:val="14"/>
              </w:rPr>
              <w:t>Gouvernance / autres</w:t>
            </w:r>
          </w:p>
        </w:tc>
        <w:tc>
          <w:tcPr>
            <w:tcW w:type="dxa" w:w="1361"/>
          </w:tcPr>
          <w:p>
            <w:r>
              <w:rPr>
                <w:b w:val="0"/>
                <w:i w:val="0"/>
                <w:color w:val="64748B"/>
                <w:sz w:val="16"/>
              </w:rPr>
              <w:t>GT-CQ</w:t>
            </w:r>
          </w:p>
        </w:tc>
        <w:tc>
          <w:tcPr>
            <w:tcW w:type="dxa" w:w="5839"/>
          </w:tcPr>
          <w:p>
            <w:r>
              <w:rPr>
                <w:b w:val="0"/>
                <w:i w:val="0"/>
                <w:sz w:val="17"/>
              </w:rPr>
              <w:t>Veuillez confirmer ces informations avec le QG ou apporter les corrections nécessaires.</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Veuillez renseigner par oui ou non toutes les modalités de la question s01q47.</w:t>
            </w:r>
          </w:p>
        </w:tc>
      </w:tr>
      <w:tr>
        <w:tc>
          <w:tcPr>
            <w:tcW w:type="dxa" w:w="1134"/>
          </w:tcPr>
          <w:p>
            <w:r>
              <w:rPr>
                <w:b/>
                <w:i w:val="0"/>
                <w:color w:val="CA8A04"/>
                <w:sz w:val="16"/>
              </w:rPr>
              <w:t>Faible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Avertissement!! Mareme Sane fréquente 2ème année de Primaire mais ne sait pas écrire, prière de vérifier auprès de Mareme Sane ou de confirmer avec le QG merci.</w:t>
            </w:r>
          </w:p>
        </w:tc>
      </w:tr>
      <w:tr>
        <w:tc>
          <w:tcPr>
            <w:tcW w:type="dxa" w:w="1134"/>
          </w:tcPr>
          <w:p>
            <w:r>
              <w:rPr>
                <w:b/>
                <w:i w:val="0"/>
                <w:color w:val="CA8A04"/>
                <w:sz w:val="16"/>
              </w:rPr>
              <w:t>Faible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Avertissement!! Mareme Sane qui sait écrire en français doit pouvoir lire en français.</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25 Kg taille unique de Mangue, cette quantité semble anormale pour une consommation des 7 derniers jours.Prière de corriger ou de confirmer avec le QG.</w:t>
            </w:r>
          </w:p>
        </w:tc>
      </w:tr>
      <w:tr>
        <w:tc>
          <w:tcPr>
            <w:tcW w:type="dxa" w:w="1134"/>
          </w:tcPr>
          <w:p>
            <w:r>
              <w:rPr>
                <w:b/>
                <w:i w:val="0"/>
                <w:color w:val="CA8A04"/>
                <w:sz w:val="16"/>
              </w:rPr>
              <w:t>Faible</w:t>
            </w:r>
          </w:p>
        </w:tc>
        <w:tc>
          <w:tcPr>
            <w:tcW w:type="dxa" w:w="1361"/>
          </w:tcPr>
          <w:p>
            <w:r>
              <w:rPr>
                <w:b/>
                <w:i w:val="0"/>
                <w:sz w:val="16"/>
              </w:rPr>
              <w:t>S13</w:t>
              <w:br/>
            </w:r>
            <w:r>
              <w:rPr>
                <w:b w:val="0"/>
                <w:i w:val="0"/>
                <w:color w:val="64748B"/>
                <w:sz w:val="14"/>
              </w:rPr>
              <w:t>Transferts</w:t>
            </w:r>
          </w:p>
        </w:tc>
        <w:tc>
          <w:tcPr>
            <w:tcW w:type="dxa" w:w="1361"/>
          </w:tcPr>
          <w:p>
            <w:r>
              <w:rPr>
                <w:b w:val="0"/>
                <w:i w:val="0"/>
                <w:color w:val="64748B"/>
                <w:sz w:val="16"/>
              </w:rPr>
              <w:t>GT-CQ</w:t>
            </w:r>
          </w:p>
        </w:tc>
        <w:tc>
          <w:tcPr>
            <w:tcW w:type="dxa" w:w="5839"/>
          </w:tcPr>
          <w:p>
            <w:r>
              <w:rPr>
                <w:b w:val="0"/>
                <w:i w:val="0"/>
                <w:sz w:val="17"/>
              </w:rPr>
              <w:t>Avertissement!! Le montant des transferts reçu (1000000 FCFA) par an semble très élevé ou faible, peut-être que vous vous êtes trompés du choix de l'unité.</w:t>
            </w:r>
          </w:p>
        </w:tc>
      </w:tr>
      <w:tr>
        <w:tc>
          <w:tcPr>
            <w:tcW w:type="dxa" w:w="1134"/>
          </w:tcPr>
          <w:p>
            <w:r>
              <w:rPr>
                <w:b/>
                <w:i w:val="0"/>
                <w:color w:val="CA8A04"/>
                <w:sz w:val="16"/>
              </w:rPr>
              <w:t>Faible</w:t>
            </w:r>
          </w:p>
        </w:tc>
        <w:tc>
          <w:tcPr>
            <w:tcW w:type="dxa" w:w="1361"/>
          </w:tcPr>
          <w:p>
            <w:r>
              <w:rPr>
                <w:b/>
                <w:i w:val="0"/>
                <w:sz w:val="16"/>
              </w:rPr>
              <w:t>S13</w:t>
              <w:br/>
            </w:r>
            <w:r>
              <w:rPr>
                <w:b w:val="0"/>
                <w:i w:val="0"/>
                <w:color w:val="64748B"/>
                <w:sz w:val="14"/>
              </w:rPr>
              <w:t>Transferts</w:t>
            </w:r>
          </w:p>
        </w:tc>
        <w:tc>
          <w:tcPr>
            <w:tcW w:type="dxa" w:w="1361"/>
          </w:tcPr>
          <w:p>
            <w:r>
              <w:rPr>
                <w:b w:val="0"/>
                <w:i w:val="0"/>
                <w:color w:val="64748B"/>
                <w:sz w:val="16"/>
              </w:rPr>
              <w:t>GT-CQ</w:t>
            </w:r>
          </w:p>
        </w:tc>
        <w:tc>
          <w:tcPr>
            <w:tcW w:type="dxa" w:w="5839"/>
          </w:tcPr>
          <w:p>
            <w:r>
              <w:rPr>
                <w:b w:val="0"/>
                <w:i w:val="0"/>
                <w:sz w:val="17"/>
              </w:rPr>
              <w:t>Avertissement!! Le montant des transferts reçu (600000 FCFA) par an semble très élevé ou faible, peut-être que vous vous êtes trompés du choix de l'unité.</w:t>
            </w:r>
          </w:p>
        </w:tc>
      </w:tr>
      <w:tr>
        <w:tc>
          <w:tcPr>
            <w:tcW w:type="dxa" w:w="1134"/>
          </w:tcPr>
          <w:p>
            <w:r>
              <w:rPr>
                <w:b/>
                <w:i w:val="0"/>
                <w:color w:val="CA8A04"/>
                <w:sz w:val="16"/>
              </w:rPr>
              <w:t>Faible</w:t>
            </w:r>
          </w:p>
        </w:tc>
        <w:tc>
          <w:tcPr>
            <w:tcW w:type="dxa" w:w="1361"/>
          </w:tcPr>
          <w:p>
            <w:r>
              <w:rPr>
                <w:b/>
                <w:i w:val="0"/>
                <w:sz w:val="16"/>
              </w:rPr>
              <w:t>S13</w:t>
              <w:br/>
            </w:r>
            <w:r>
              <w:rPr>
                <w:b w:val="0"/>
                <w:i w:val="0"/>
                <w:color w:val="64748B"/>
                <w:sz w:val="14"/>
              </w:rPr>
              <w:t>Transferts</w:t>
            </w:r>
          </w:p>
        </w:tc>
        <w:tc>
          <w:tcPr>
            <w:tcW w:type="dxa" w:w="1361"/>
          </w:tcPr>
          <w:p>
            <w:r>
              <w:rPr>
                <w:b w:val="0"/>
                <w:i w:val="0"/>
                <w:color w:val="64748B"/>
                <w:sz w:val="16"/>
              </w:rPr>
              <w:t>GT-CQ</w:t>
            </w:r>
          </w:p>
        </w:tc>
        <w:tc>
          <w:tcPr>
            <w:tcW w:type="dxa" w:w="5839"/>
          </w:tcPr>
          <w:p>
            <w:r>
              <w:rPr>
                <w:b w:val="0"/>
                <w:i w:val="0"/>
                <w:sz w:val="17"/>
              </w:rPr>
              <w:t>Avertissement!! Le montant des transferts émis par an semble très élevé ou faible, peut-être que vous vous êtes trompés du choix de l'unité.</w:t>
            </w:r>
          </w:p>
        </w:tc>
      </w:tr>
      <w:tr>
        <w:tc>
          <w:tcPr>
            <w:tcW w:type="dxa" w:w="1134"/>
          </w:tcPr>
          <w:p>
            <w:r>
              <w:rPr>
                <w:b/>
                <w:i w:val="0"/>
                <w:color w:val="CA8A04"/>
                <w:sz w:val="16"/>
              </w:rPr>
              <w:t>Faible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Avertissement!! Le champs a comme nom (Champs 1) qui ne semble pas être un bon nom ou contient des lettres, prière de mettre le vrai nom du champs.</w:t>
            </w:r>
          </w:p>
        </w:tc>
      </w:tr>
      <w:tr>
        <w:tc>
          <w:tcPr>
            <w:tcW w:type="dxa" w:w="1134"/>
          </w:tcPr>
          <w:p>
            <w:r>
              <w:rPr>
                <w:b/>
                <w:i w:val="0"/>
                <w:color w:val="CA8A04"/>
                <w:sz w:val="16"/>
              </w:rPr>
              <w:t>Faible</w:t>
            </w:r>
          </w:p>
        </w:tc>
        <w:tc>
          <w:tcPr>
            <w:tcW w:type="dxa" w:w="1361"/>
          </w:tcPr>
          <w:p>
            <w:r>
              <w:rPr>
                <w:b/>
                <w:i w:val="0"/>
                <w:sz w:val="16"/>
              </w:rPr>
              <w:t>S20</w:t>
              <w:br/>
            </w:r>
            <w:r>
              <w:rPr>
                <w:b w:val="0"/>
                <w:i w:val="0"/>
                <w:color w:val="64748B"/>
                <w:sz w:val="14"/>
              </w:rPr>
              <w:t>Gouvernance / autres</w:t>
            </w:r>
          </w:p>
        </w:tc>
        <w:tc>
          <w:tcPr>
            <w:tcW w:type="dxa" w:w="1361"/>
          </w:tcPr>
          <w:p>
            <w:r>
              <w:rPr>
                <w:b w:val="0"/>
                <w:i w:val="0"/>
                <w:color w:val="64748B"/>
                <w:sz w:val="16"/>
              </w:rPr>
              <w:t>GT-CQ</w:t>
            </w:r>
          </w:p>
        </w:tc>
        <w:tc>
          <w:tcPr>
            <w:tcW w:type="dxa" w:w="5839"/>
          </w:tcPr>
          <w:p>
            <w:r>
              <w:rPr>
                <w:b w:val="0"/>
                <w:i w:val="0"/>
                <w:sz w:val="17"/>
              </w:rPr>
              <w:t>Avertissement!! Le montant minimum mensuel déclaré par le ménage est aberrant (trop faible ou trop élevé pour assurer un niveau de vie décent).</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