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Balakissa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Sidikou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Sidaty Keba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Cheikh Sidaty Keba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Cheikh Sidaty Keba Sané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Diatou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Lamine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Ousmane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Ousmane Sané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Yancouba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montant(22500 FCFA) des dépenses pour chaque visite prénatale de Diatou Sané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Seynaba Diedhiou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Balakissa Gassama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Boubacar Sidikou Sané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Mamadou lamine Sane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Boubacar Sidikou Sané (9900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Sidikou Sané (5250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Diatou Sané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Lamine Sané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lamine Sane (3800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Malick Sane (3350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Yancouba Sané (7600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(Tres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Boubacar Sidikou Sané (81500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(6000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(30000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(22000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construction bâtiment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construction bâtiment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construction bâtiment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construction bâtiment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(60000 FCFA) du loyer avec comme type de logement (Maison Basse) est trop élevé dans un milieu rural,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achété à 7500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Manioc est de 5000 FCFA qui semble élevé, prière de verifier le montant tiré de la vente (10000 FCFA) de Manioc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Manioc.</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Incohérence. Le nombre de culture renseigné dans la question 16C.05 est différent du nombre de cultures dans la question 16A.07. Veuillez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3500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Balakissa Gassama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Ousmane Sané fréquente 2ème année de Primaire mais ne sait pas écrire, prière de vérifier auprès de Ousmane Sané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Ousmane Sané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Seynaba Diedhiou qui sait écrire en français doit pouvoir lire en français.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Matelas simple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