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PAPE MALANG LINGA BADJI) , prière de renseigner toutes les questions liées à  PAPE MALANG LINGA BADJI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COMBE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BANDE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DRAME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BINTA DRAME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ABA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CHERIF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GNIMA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PAPE LINGA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MALANG PAPE LINGA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DRAME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MOHAMED DRAME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SALY COUNA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NDEYE SALY COUNA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 FCFA) des dépenses pour chaque visite prénatale de BANDE DIATTA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MAMADOU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CHERIF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PAPE MALANG LINGA BADJI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BINTOU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BINTOU BADJI (9800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CHERIF BADJI (6350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(10500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(37500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(73000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(94000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(33000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(10000 Fcfa) au cours de 30 derniers jours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(2800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(12500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(280000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(7500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6000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(3)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(3) selon l'exploitant est de 40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Djibountigné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Djibountigné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 Djibountigné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 Gramme) utilisée de semences de Riz Paddy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Ruches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GNIMA MANE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(500000 FCFA) de BINTOU BADJI semble trop élevé pour un revenu net gagné par mois.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(3))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