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DEMBA a declaré que la catégorie socioprofessionnelle de son père est  Patron/Employeur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DEMBA a declaré que la catégorie socioprofessionnelle de son père est  Patron/Employeur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ÐIENABA SAMBOU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200 FCFA Tous les 2 mois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AWA DEMBA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MARIAMA DEMBA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ÐIENABA SAMBOU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BOUBACAR DEMBA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DEMBA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( 5500 FCFA) payée de MARIAMA DEMBA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RAMATOULAYE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RAMATOULAYE SIDIBE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ÐIENABA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ÐIENABA SAMBOU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montant(250000 FCFA) des dépenses liées à l'accouchement de DIENABA BADJI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montant(15715 FCFA) des dépenses pour chaque visite prénatale de DIENABA BADJI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BOUBACAR DEMBA est de 0, il ne doit pas être égal à 0.</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revenu de BOUBACAR DEMBA.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BOUBACAR DEMBA (3000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Cigarettes, Tabac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BOUBACAR DEMBA (400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BOUBACAR DEMBA (3000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BOUBACAR DEMBA (2000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(3500 Fcfa) pour Brosse à dents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BOUBACAR DEMBA (2000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achété à 350000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revendu à 300000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d’arachide selon l'exploitant est de 50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d’arachide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d’arachide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Tres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