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EQ6_enq3_v2  ·  Équipe : EQ6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KHADIDIATOU DIALLO a declaré que le secteur institutionnel de sa mère est Ne sait pas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(2 question(s) de  DJIBRIL DIALLO) , prière de renseigner toutes les questions liées à  DJIBRIL DIALLO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(6000 Fcfa) dépensé ou reçu en cadeau pour les recharges internet ou de forfaits de données mobiles(hors appels vocaux), aucours des 30 derniers jours de  TACKO DIALLO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KHADIDIATOU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DJIBRIL DIALLO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DJIBRIL DIALLO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DJIBRIL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DJIBRIL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FARMATA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FARMATA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KHADIDIATOU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KHADIDIATOU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TACKO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(12 jours) que AISSATOU DIALLO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Pommes en Pièce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(3000 Fcfa) de Viande de bœuf: filet, faux-filet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Ail en Gousse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AMADOU MAMADOU DIALLO avec une taille de 5 personnes a consommé 4 Kg en taille unique de Sucre en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(6250 Fcfa) de Tomate fraîche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Les quantités consommées du ménage de AMADOU MAMADOU DIALLO de 5 personnes semblent anormales.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MAMADOU DIALLO (10800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MAMADOU DIALLO (1000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MAMADOU DIALLO (70000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DAKAR Urbain ont généralement comme principal matériau de revêtement du sol du logement le/la Ciment/Béton, mais celui du ménage de AMADOU MAMADOU DIALLO (Terre battue/Sable) diffère de celui-ci.</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Fer à repasser à charbon a été revendu à 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AMADOU MAMADOU DIALLO, prière de reprendre la section agriculture du ménage AMADOU MAMADOU DIALLO.</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(7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Tomate fraîche,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