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FOULA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GAOUSSOU DANFAFA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GASSAMA ignore son année de naissance mais declare l'âge qu'il avait à son dernier anniverssaireLa taille du ménage lors de l'enquête principale (6) de ce ménage est inférieur à la taille du denombrement (7),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(25 ans) de FATOUMATA GASSAMA ou l'année à laquelle FATOUMATA GASSAMA a fréquenté l'école pour la dernière fois (9999)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FATOUMATA GASSAMA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GAOUSSOU DANFAFA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TAMBACOUNDA Urbain ont généralement comme principal matériau de construction le/la Ciment/Béton/Pierres de taille, mais celui du ménage de DOUFARE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FOULA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GAOUSSOU DANFAFA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FATOUMATA GASSAMA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DOUFARE DANFAKHA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GASSAMA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FOULA DANFAKHA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GAOUSSOU DANFAFA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GAOUSSOU DANFAFA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(15000 Fcfa) de GAOUSSOU DANFAFA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DOUFARE DANFAKHA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DOUFARE (542000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DOUFARE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TAMBACOUNDA Urbain ont généralement comme principal matériau du toit le/la Dalle en ciment, mais celui du ménage de DOUFARE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DOUFARE DANFAKHA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DOUFARE a comme taille 6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