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EQ20_sup_v2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GREVE) , prière de renseigner toutes les questions liées à  FATOU GREVE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DIENABA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GREVE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ROUGUI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ROUGUI DRAME est Handicap de la 4.21 mais ROUGUI DRAME n'a déclaré aucun handicap en 3.43 à 3.48,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DIENABA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ROUGUI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HAMZA GREVE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RAMATA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SOULEYMANE GREVE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MAIMOUNA THIAM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ABDOURAHMANE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ABDOURAHMANE GREVE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AMADOU GREVE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FABRICATION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TRANSPORT MOTO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TAXI MOTO 3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GREVE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ABDOURAHMANE GREVE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ABOU GREVE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AMADOU  THIAM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MAIRAM HOTT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MAIRAM HOTT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MALICK GREVE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MALICK GREVE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OMAR GREVE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OMAR GREVE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ROUGUI DRAME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