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FARBA FALL a declaré que la catégorie socioprofessionnelle de sa mère est Travailleur pour compte propre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FALL1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NDIOGOU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ELKHADJI TINE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FARBA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DIARRA NGING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BARA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DIOUMA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MBENE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NDIOGOU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NGONE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SERIGNE MBACKE FALL.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FARBA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FALL1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BARA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ELKHADJI TINE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FALLOU SARR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FALLOU SARR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NGONE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BARA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FALLOU FALL qui fréquente 2ème année de Maternelle  est de 0 FCFA, FALLOU FALL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SERIGNE MBACKE FALL.</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DABA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DIOUMA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NDIOGOU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FALL MBENE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NGONE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ELKHADJI TINE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FARBA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DIARRA NGING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montant(35000 FCFA) des dépenses pour chaque visite prénatale de MBENE GUEYE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DABA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ELKHADJI TINE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FARBA FALL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FARBA FALL (10000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FARBA FALL (187500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(24000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(9000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214500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20000 FCFA qui semble élevé, prière de verifier le montant tiré de la vente (40000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7500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FALLOU FALL MBENE fréquente 3ème année de Primaire mais ne sait pas écrire, prière de vérifier auprès de FALLOU FALL MBENE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NGONE FALL fréquente 3ème année de Primaire mais ne sait pas écrire, prière de vérifier auprès de NGONE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DIOUF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POUYE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MAME DIARRA NGING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MBENE GUEYE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DABA DIAGNE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(15000)  avec l'âge du bien atteignant 7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