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EQ7_sup_v2  ·  Équipe : EQ7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(72)</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ASTOU SARR) , prière de renseigner toutes les questions liées à  ASTOU SARR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BOUYO SECK) , prière de renseigner toutes les questions liées à  BOUYO SECK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NDAO a declaré que la catégorie socioprofessionnelle de son père est Ouvrier ou employé qualifié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FARI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KARIME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MAREME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MASSINTI NDAO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MODOU NDAO a declaré que la branche d'activité de sa mère est Commerce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ASTOU SARR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BOUYO SECK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FARI NDAO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MODOU NDAO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SARR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AWA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IBRAHIMA NDAO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MOUHAMED NDAO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(11)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MOUHAMED NDAO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MOUHAMED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FARI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KARIME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MASSINTI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MODOU NDAO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( 2500 FCFA) payée de AWA NDAO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ASTOU SARR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BOUYO SECK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FARI NDAO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MODOU NDAO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montant(120000 FCFA) des dépenses liées à l'accouchement de BOUYO SECK est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MODOU NDAO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NDAO (835000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(1200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Essence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(100000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(130000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NDAO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service de réparation de voiture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300000 Fcfa avec le type de logement Maison à Etage est relativement élevé par rapport aux autres montants observés à THIES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IBRAHIMA NDAO, prière de reprendre la section agriculture du ménage IBRAHIMA NDAO.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IBRAHIMA NDAO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NDAO fréquente 2ème année de Primaire mais ne sait pas écrire, prière de vérifier auprès de AWA NDAO ou de confirmer avec le QG merci.</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