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AISSATA BA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KHAWA SOW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 FCFA) pour l'année scolaire de AISSATA BA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 FCFA) pour l'année scolaire de KHAWA SOW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MAMADOU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MARIETA SOW n'a pas fait des études dans une école formelle est ANNEE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montant(0 FCFA) des dépenses pour chaque visite prénatale de FATIMATA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ABDOU MAMADOU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MAMADOU SOW ), prière de renseignés toutes les questions liées à ( ABDOU MAMADOU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MAMADOU SOW (131000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(8200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(12000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SERVICE DE MARABOU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SERVICE DE MARABOU n'a pas effectué des dépenses ou faire des reventes des marchandises ou des produits ou rendre de service.Cette entreprise SERVICE DE MARABOU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SERVICE DE MARABOU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MARABOU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SERVICE DE MARABOU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MARABOU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MARABOU, prière de renseignés toutes les questions liées à SERVICE DE MARABOU.</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s01q00a, s01q12, s01q13, s02q04, s03q11, s03q12, s01q01</w:t>
            </w:r>
          </w:p>
        </w:tc>
        <w:tc>
          <w:tcPr>
            <w:tcW w:type="dxa" w:w="5896"/>
          </w:tcPr>
          <w:p>
            <w:r>
              <w:rPr>
                <w:b w:val="0"/>
                <w:i w:val="0"/>
                <w:sz w:val="17"/>
              </w:rPr>
              <w:t>minutes) est élevé,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ABDOU MAMADOU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 MAMADOU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Autre poisson séché (tambadiang, etc.) en Morceau (Portion)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