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Assane Thiaw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construction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revêtement du sol est  qui semble incohérent.</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Equins (Chevaux)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Assane Thiaw est venu vivre dans cette localité est tavail charetier et gardien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Assane Thiaw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Assane Thiaw.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Thiaw ), prière de renseignés toutes les questions liées à ( Assane Thiaw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Assane Thiaw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Assane Thiaw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Assane Thiaw.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Thiaw ), prière de renseignés toutes les questions liées à ( Assane Thiaw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Alssane Thiaw (16850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589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s17q50</w:t>
            </w:r>
          </w:p>
        </w:tc>
        <w:tc>
          <w:tcPr>
            <w:tcW w:type="dxa" w:w="5896"/>
          </w:tcPr>
          <w:p>
            <w:r>
              <w:rPr>
                <w:b w:val="0"/>
                <w:i w:val="0"/>
                <w:sz w:val="17"/>
              </w:rPr>
              <w:t>Erreur. La dépenses renseignée doit être supérieure à 0.</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s17q54</w:t>
            </w:r>
          </w:p>
        </w:tc>
        <w:tc>
          <w:tcPr>
            <w:tcW w:type="dxa" w:w="5896"/>
          </w:tcPr>
          <w:p>
            <w:r>
              <w:rPr>
                <w:b w:val="0"/>
                <w:i w:val="0"/>
                <w:sz w:val="17"/>
              </w:rPr>
              <w:t>Incohérence. Le nombre de mois au cours des 12 derniers mois dépasse 12, Veuillez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Alssane Thiaw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