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 GREVE) , prière de renseigner toutes les questions liées à  FATOU GREVE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DIENABA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GREVE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ROUGUI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5896"/>
          </w:tcPr>
          <w:p>
            <w:r>
              <w:rPr>
                <w:b w:val="0"/>
                <w:i w:val="0"/>
                <w:sz w:val="17"/>
              </w:rPr>
              <w:t>Incoherent! ROUGUI DRAME est Handicap de la 4.21 mais ROUGUI DRAME n'a déclaré aucun handicap en 3.43 à 3.48,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DIENABA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ROUGUI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MAIMOUNA THIAM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ABDOURAHMANE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ABDOURAHMANE GREVE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AMADOU GREVE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DIENABA KANTE (321200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DIENABA KANTE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DIENABA KANTE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DIENABA KANTE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DIENABA KANTE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FABRICATION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FABRICATION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TRANSPORT MOTO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TAXI MOTO 3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ABOU GREVE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MAIRAM HOTT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MALICK GREVE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OMAR GREVE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